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CD314" w14:textId="77777777" w:rsidR="00F27E17" w:rsidRDefault="00813D92" w:rsidP="00544E74">
      <w:pPr>
        <w:spacing w:after="660"/>
      </w:pPr>
      <w:bookmarkStart w:id="0" w:name="_Toc129767120"/>
      <w:r>
        <w:rPr>
          <w:noProof/>
        </w:rPr>
        <w:drawing>
          <wp:inline distT="0" distB="0" distL="0" distR="0" wp14:anchorId="0D3DE485" wp14:editId="574537FE">
            <wp:extent cx="2340000" cy="585128"/>
            <wp:effectExtent l="0" t="0" r="3175" b="5715"/>
            <wp:docPr id="873557974" name="Bild 5" descr="Synskadades Riksförbund,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57974" name="Bild 5" descr="Synskadades Riksförbund, logotyp."/>
                    <pic:cNvPicPr/>
                  </pic:nvPicPr>
                  <pic:blipFill>
                    <a:blip r:embed="rId11">
                      <a:extLst>
                        <a:ext uri="{96DAC541-7B7A-43D3-8B79-37D633B846F1}">
                          <asvg:svgBlip xmlns:asvg="http://schemas.microsoft.com/office/drawing/2016/SVG/main" r:embed="rId12"/>
                        </a:ext>
                      </a:extLst>
                    </a:blip>
                    <a:stretch>
                      <a:fillRect/>
                    </a:stretch>
                  </pic:blipFill>
                  <pic:spPr>
                    <a:xfrm>
                      <a:off x="0" y="0"/>
                      <a:ext cx="2340000" cy="585128"/>
                    </a:xfrm>
                    <a:prstGeom prst="rect">
                      <a:avLst/>
                    </a:prstGeom>
                  </pic:spPr>
                </pic:pic>
              </a:graphicData>
            </a:graphic>
          </wp:inline>
        </w:drawing>
      </w:r>
    </w:p>
    <w:p w14:paraId="1C2A7BFC" w14:textId="77777777" w:rsidR="001F5561" w:rsidRDefault="001F5561" w:rsidP="001F5561">
      <w:pPr>
        <w:rPr>
          <w:b/>
          <w:bCs/>
        </w:rPr>
        <w:sectPr w:rsidR="001F5561" w:rsidSect="00465805">
          <w:headerReference w:type="default" r:id="rId13"/>
          <w:footerReference w:type="default" r:id="rId14"/>
          <w:footerReference w:type="first" r:id="rId15"/>
          <w:pgSz w:w="11906" w:h="16838"/>
          <w:pgMar w:top="851" w:right="1418" w:bottom="1418" w:left="1418" w:header="567" w:footer="567" w:gutter="0"/>
          <w:cols w:space="708"/>
          <w:titlePg/>
          <w:docGrid w:linePitch="381"/>
        </w:sectPr>
      </w:pPr>
    </w:p>
    <w:p w14:paraId="24E34498" w14:textId="77777777" w:rsidR="001F5561" w:rsidRPr="001F5561" w:rsidRDefault="001F5561" w:rsidP="003845EA">
      <w:pPr>
        <w:spacing w:line="240" w:lineRule="auto"/>
        <w:rPr>
          <w:b/>
          <w:bCs/>
        </w:rPr>
      </w:pPr>
      <w:r w:rsidRPr="001F5561">
        <w:rPr>
          <w:b/>
          <w:bCs/>
        </w:rPr>
        <w:t>Kontakt</w:t>
      </w:r>
    </w:p>
    <w:p w14:paraId="3DCB5116" w14:textId="22D4A641" w:rsidR="001F5561" w:rsidRPr="00092351" w:rsidRDefault="00092351" w:rsidP="003845EA">
      <w:pPr>
        <w:spacing w:line="240" w:lineRule="auto"/>
        <w:rPr>
          <w:lang w:val="fi-FI"/>
        </w:rPr>
      </w:pPr>
      <w:r w:rsidRPr="00092351">
        <w:rPr>
          <w:lang w:val="fi-FI"/>
        </w:rPr>
        <w:t>Belmina Koca</w:t>
      </w:r>
    </w:p>
    <w:p w14:paraId="3BF298FA" w14:textId="5055C922" w:rsidR="001F5561" w:rsidRPr="00092351" w:rsidRDefault="001F5561" w:rsidP="003845EA">
      <w:pPr>
        <w:spacing w:line="240" w:lineRule="auto"/>
        <w:rPr>
          <w:lang w:val="fi-FI"/>
        </w:rPr>
      </w:pPr>
      <w:proofErr w:type="spellStart"/>
      <w:r w:rsidRPr="00092351">
        <w:rPr>
          <w:lang w:val="fi-FI"/>
        </w:rPr>
        <w:t>Tfn</w:t>
      </w:r>
      <w:proofErr w:type="spellEnd"/>
      <w:r w:rsidRPr="00092351">
        <w:rPr>
          <w:lang w:val="fi-FI"/>
        </w:rPr>
        <w:t xml:space="preserve"> </w:t>
      </w:r>
      <w:r w:rsidR="00092351" w:rsidRPr="00092351">
        <w:rPr>
          <w:lang w:val="fi-FI"/>
        </w:rPr>
        <w:t>08-39 91 72</w:t>
      </w:r>
    </w:p>
    <w:p w14:paraId="64E37C72" w14:textId="3202254D" w:rsidR="001F5561" w:rsidRPr="00F2467B" w:rsidRDefault="000C1628" w:rsidP="003845EA">
      <w:pPr>
        <w:spacing w:line="240" w:lineRule="auto"/>
        <w:rPr>
          <w:rFonts w:cstheme="minorHAnsi"/>
          <w:lang w:val="fi-FI"/>
        </w:rPr>
      </w:pPr>
      <w:hyperlink r:id="rId16" w:history="1">
        <w:r w:rsidRPr="00643026">
          <w:rPr>
            <w:rStyle w:val="Hyperlnk"/>
            <w:rFonts w:cstheme="minorHAnsi"/>
            <w:lang w:val="fi-FI"/>
          </w:rPr>
          <w:t>belmina.koca@srf.nu</w:t>
        </w:r>
      </w:hyperlink>
      <w:r>
        <w:rPr>
          <w:rFonts w:cstheme="minorHAnsi"/>
          <w:lang w:val="fi-FI"/>
        </w:rPr>
        <w:t xml:space="preserve"> </w:t>
      </w:r>
    </w:p>
    <w:p w14:paraId="4BD6171F" w14:textId="77777777" w:rsidR="00092351" w:rsidRPr="00F2467B" w:rsidRDefault="001F5561" w:rsidP="003845EA">
      <w:pPr>
        <w:spacing w:line="240" w:lineRule="auto"/>
        <w:rPr>
          <w:rFonts w:eastAsia="Calibri" w:cstheme="minorHAnsi"/>
          <w:color w:val="000000" w:themeColor="text2"/>
          <w:lang w:val="fi-FI"/>
        </w:rPr>
      </w:pPr>
      <w:proofErr w:type="spellStart"/>
      <w:r w:rsidRPr="00F2467B">
        <w:rPr>
          <w:rFonts w:cstheme="minorHAnsi"/>
          <w:lang w:val="fi-FI"/>
        </w:rPr>
        <w:t>Diarienummer</w:t>
      </w:r>
      <w:proofErr w:type="spellEnd"/>
      <w:r w:rsidRPr="00F2467B">
        <w:rPr>
          <w:rFonts w:cstheme="minorHAnsi"/>
          <w:lang w:val="fi-FI"/>
        </w:rPr>
        <w:t xml:space="preserve">: </w:t>
      </w:r>
      <w:r w:rsidR="00092351" w:rsidRPr="00F2467B">
        <w:rPr>
          <w:rFonts w:eastAsia="Calibri" w:cstheme="minorHAnsi"/>
          <w:color w:val="000000" w:themeColor="text2"/>
          <w:lang w:val="fi-FI"/>
        </w:rPr>
        <w:t>2024/402</w:t>
      </w:r>
    </w:p>
    <w:p w14:paraId="062A0226" w14:textId="00D101CF" w:rsidR="001F5561" w:rsidRPr="00F2467B" w:rsidRDefault="00092351" w:rsidP="003845EA">
      <w:pPr>
        <w:spacing w:line="240" w:lineRule="auto"/>
        <w:rPr>
          <w:rFonts w:cstheme="minorHAnsi"/>
          <w:lang w:val="fi-FI"/>
        </w:rPr>
      </w:pPr>
      <w:proofErr w:type="spellStart"/>
      <w:r w:rsidRPr="00F2467B">
        <w:rPr>
          <w:rFonts w:eastAsia="Calibri" w:cstheme="minorHAnsi"/>
          <w:color w:val="000000" w:themeColor="text2"/>
          <w:lang w:val="fi-FI"/>
        </w:rPr>
        <w:t>SRF:s</w:t>
      </w:r>
      <w:proofErr w:type="spellEnd"/>
      <w:r w:rsidRPr="00F2467B">
        <w:rPr>
          <w:rFonts w:eastAsia="Calibri" w:cstheme="minorHAnsi"/>
          <w:color w:val="000000" w:themeColor="text2"/>
          <w:lang w:val="fi-FI"/>
        </w:rPr>
        <w:t xml:space="preserve"> </w:t>
      </w:r>
      <w:proofErr w:type="spellStart"/>
      <w:r w:rsidRPr="00F2467B">
        <w:rPr>
          <w:rFonts w:eastAsia="Calibri" w:cstheme="minorHAnsi"/>
          <w:color w:val="000000" w:themeColor="text2"/>
          <w:lang w:val="fi-FI"/>
        </w:rPr>
        <w:t>diarienummer</w:t>
      </w:r>
      <w:proofErr w:type="spellEnd"/>
      <w:r w:rsidRPr="00F2467B">
        <w:rPr>
          <w:rFonts w:eastAsia="Calibri" w:cstheme="minorHAnsi"/>
          <w:color w:val="000000" w:themeColor="text2"/>
          <w:lang w:val="fi-FI"/>
        </w:rPr>
        <w:t xml:space="preserve">: </w:t>
      </w:r>
      <w:r w:rsidR="008F20E5">
        <w:rPr>
          <w:rFonts w:eastAsia="Calibri" w:cstheme="minorHAnsi"/>
          <w:color w:val="000000" w:themeColor="text2"/>
          <w:lang w:val="fi-FI"/>
        </w:rPr>
        <w:t>048</w:t>
      </w:r>
    </w:p>
    <w:p w14:paraId="14A13264" w14:textId="5755F99A" w:rsidR="001F5561" w:rsidRDefault="00214146" w:rsidP="003845EA">
      <w:pPr>
        <w:spacing w:line="240" w:lineRule="auto"/>
      </w:pPr>
      <w:r w:rsidRPr="00092351">
        <w:rPr>
          <w:lang w:val="fi-FI"/>
        </w:rPr>
        <w:br w:type="column"/>
      </w:r>
      <w:sdt>
        <w:sdtPr>
          <w:id w:val="1158193496"/>
          <w:placeholder>
            <w:docPart w:val="143638AE690B42F5B2E42D6BC0B33868"/>
          </w:placeholder>
          <w:date w:fullDate="2026-09-15T00:00:00Z">
            <w:dateFormat w:val="yyyy-MM-dd"/>
            <w:lid w:val="sv-SE"/>
            <w:storeMappedDataAs w:val="dateTime"/>
            <w:calendar w:val="gregorian"/>
          </w:date>
        </w:sdtPr>
        <w:sdtEndPr/>
        <w:sdtContent>
          <w:r w:rsidR="00A31A4D">
            <w:t>2026-09-1</w:t>
          </w:r>
          <w:r w:rsidR="000B0654">
            <w:t>5</w:t>
          </w:r>
        </w:sdtContent>
      </w:sdt>
    </w:p>
    <w:p w14:paraId="0716DDDB" w14:textId="5F3FE46A" w:rsidR="001F5561" w:rsidRPr="001F5561" w:rsidRDefault="00004CF7" w:rsidP="003845EA">
      <w:pPr>
        <w:spacing w:line="240" w:lineRule="auto"/>
        <w:rPr>
          <w:b/>
          <w:bCs/>
        </w:rPr>
      </w:pPr>
      <w:r>
        <w:rPr>
          <w:b/>
          <w:bCs/>
        </w:rPr>
        <w:br/>
      </w:r>
      <w:r w:rsidR="001F5561" w:rsidRPr="001F5561">
        <w:rPr>
          <w:b/>
          <w:bCs/>
        </w:rPr>
        <w:t>Till</w:t>
      </w:r>
    </w:p>
    <w:p w14:paraId="1349BE87" w14:textId="61E48DEB" w:rsidR="001F5561" w:rsidRDefault="00092351" w:rsidP="003845EA">
      <w:pPr>
        <w:spacing w:line="240" w:lineRule="auto"/>
      </w:pPr>
      <w:r>
        <w:t>Myndigheten för tillgängliga medier</w:t>
      </w:r>
    </w:p>
    <w:p w14:paraId="6EB5D093" w14:textId="4F464C94" w:rsidR="00092351" w:rsidRPr="00F2467B" w:rsidRDefault="00092351" w:rsidP="003845EA">
      <w:pPr>
        <w:spacing w:line="240" w:lineRule="auto"/>
      </w:pPr>
      <w:hyperlink r:id="rId17" w:tgtFrame="_blank" w:history="1">
        <w:r w:rsidRPr="00F2467B">
          <w:rPr>
            <w:rStyle w:val="Hyperlnk"/>
            <w:color w:val="467886"/>
          </w:rPr>
          <w:t>yttranden@mtm.se</w:t>
        </w:r>
      </w:hyperlink>
    </w:p>
    <w:p w14:paraId="0F1EFBB7" w14:textId="77777777" w:rsidR="001F5561" w:rsidRDefault="001F5561" w:rsidP="003845EA">
      <w:pPr>
        <w:spacing w:line="240" w:lineRule="auto"/>
        <w:sectPr w:rsidR="001F5561" w:rsidSect="001F5561">
          <w:type w:val="continuous"/>
          <w:pgSz w:w="11906" w:h="16838"/>
          <w:pgMar w:top="851" w:right="1418" w:bottom="1418" w:left="1418" w:header="567" w:footer="567" w:gutter="0"/>
          <w:cols w:num="2" w:space="708"/>
          <w:titlePg/>
          <w:docGrid w:linePitch="381"/>
        </w:sectPr>
      </w:pPr>
    </w:p>
    <w:bookmarkEnd w:id="0"/>
    <w:p w14:paraId="724B6FCD" w14:textId="0E64CE47" w:rsidR="00B9642E" w:rsidRDefault="00147FD6" w:rsidP="00FA7353">
      <w:pPr>
        <w:pStyle w:val="Rubrik1"/>
      </w:pPr>
      <w:r w:rsidRPr="00147FD6">
        <w:t>Synskadades Riksförbunds synpunkter på promemorian Överväganden om en ny ordning för MTM:s anpassning av allmänlitteratur</w:t>
      </w:r>
    </w:p>
    <w:p w14:paraId="3316498A" w14:textId="77777777" w:rsidR="00147FD6" w:rsidRDefault="00147FD6" w:rsidP="00B9642E"/>
    <w:p w14:paraId="303762C4" w14:textId="31118113" w:rsidR="00147FD6" w:rsidRDefault="00147FD6" w:rsidP="00147FD6">
      <w:pPr>
        <w:pStyle w:val="Rubrik2"/>
      </w:pPr>
      <w:r>
        <w:t>Sammanfattning</w:t>
      </w:r>
    </w:p>
    <w:p w14:paraId="57D4B84B" w14:textId="77777777" w:rsidR="00147FD6" w:rsidRDefault="00147FD6" w:rsidP="00147FD6">
      <w:r w:rsidRPr="00EC4AAA">
        <w:rPr>
          <w:b/>
          <w:bCs/>
        </w:rPr>
        <w:t>Synskadades Riksförbund (SRF) a</w:t>
      </w:r>
      <w:r w:rsidRPr="00F55FCE">
        <w:rPr>
          <w:b/>
          <w:bCs/>
        </w:rPr>
        <w:t xml:space="preserve">vstyrker att Myndigheten för tillgängliga medier (MTM) inför en ny och mer restriktiv ordning </w:t>
      </w:r>
      <w:r>
        <w:t>för anpassning av allmänlitteratur.</w:t>
      </w:r>
    </w:p>
    <w:p w14:paraId="25796543" w14:textId="77777777" w:rsidR="006E6047" w:rsidRDefault="006E6047" w:rsidP="00147FD6"/>
    <w:p w14:paraId="16AEECD7" w14:textId="77777777" w:rsidR="00147FD6" w:rsidRPr="00695731" w:rsidRDefault="00147FD6" w:rsidP="00147FD6">
      <w:pPr>
        <w:rPr>
          <w:b/>
          <w:bCs/>
        </w:rPr>
      </w:pPr>
      <w:r w:rsidRPr="00695731">
        <w:rPr>
          <w:b/>
          <w:bCs/>
        </w:rPr>
        <w:t>SRF anser att:</w:t>
      </w:r>
    </w:p>
    <w:p w14:paraId="4FC0B48B" w14:textId="11D4567A" w:rsidR="00147FD6" w:rsidRDefault="00147FD6" w:rsidP="006E6047">
      <w:pPr>
        <w:pStyle w:val="Liststycke"/>
        <w:numPr>
          <w:ilvl w:val="0"/>
          <w:numId w:val="17"/>
        </w:numPr>
      </w:pPr>
      <w:r>
        <w:t>MTM behöver visa att den föreslagna förändringen leder till likvärdig tillgång till litteratur för personer med synnedsättning innan nya riktlinjer införs.</w:t>
      </w:r>
    </w:p>
    <w:p w14:paraId="2EDB1A6E" w14:textId="7F1A33CA" w:rsidR="00147FD6" w:rsidRDefault="00147FD6" w:rsidP="006E6047">
      <w:pPr>
        <w:pStyle w:val="Liststycke"/>
        <w:numPr>
          <w:ilvl w:val="0"/>
          <w:numId w:val="17"/>
        </w:numPr>
      </w:pPr>
      <w:r>
        <w:t>Tillgänglighetsdirektivet ska ge synskadade fler möjligheter att läsa, inte användas som argument för att begränsa lösningar som redan fungerar.</w:t>
      </w:r>
    </w:p>
    <w:p w14:paraId="2691B0F3" w14:textId="17D956A7" w:rsidR="00147FD6" w:rsidRDefault="00147FD6" w:rsidP="006E6047">
      <w:pPr>
        <w:pStyle w:val="Liststycke"/>
        <w:numPr>
          <w:ilvl w:val="0"/>
          <w:numId w:val="17"/>
        </w:numPr>
      </w:pPr>
      <w:r>
        <w:t>Bedömningar av om en titel ska anpassas måste utgå från faktisk användbarhet, inte enbart från att en kommersiell e-bok finns på marknaden och har tillgänglighetsmetadata.</w:t>
      </w:r>
    </w:p>
    <w:p w14:paraId="3E3E1C97" w14:textId="6CBE6FFF" w:rsidR="00147FD6" w:rsidRDefault="00147FD6" w:rsidP="006E6047">
      <w:pPr>
        <w:pStyle w:val="Liststycke"/>
        <w:numPr>
          <w:ilvl w:val="0"/>
          <w:numId w:val="17"/>
        </w:numPr>
      </w:pPr>
      <w:r>
        <w:t>Synnedsättning innebär ett omfattande informationshinder. Därför måste synskadade få information och litteratur i anpassade format även i fortsättningen.</w:t>
      </w:r>
    </w:p>
    <w:p w14:paraId="6FDB9D2D" w14:textId="3E5D9388" w:rsidR="00147FD6" w:rsidRDefault="00147FD6" w:rsidP="006E6047">
      <w:pPr>
        <w:pStyle w:val="Liststycke"/>
        <w:numPr>
          <w:ilvl w:val="0"/>
          <w:numId w:val="17"/>
        </w:numPr>
      </w:pPr>
      <w:proofErr w:type="spellStart"/>
      <w:r>
        <w:lastRenderedPageBreak/>
        <w:t>Legimus</w:t>
      </w:r>
      <w:proofErr w:type="spellEnd"/>
      <w:r>
        <w:t xml:space="preserve"> fyller en unik funktion som tillgängligt bibliotek för många synskadade och kan inte ersättas av kommersiella e-böcker eller av lokala biblioteksinköp.</w:t>
      </w:r>
    </w:p>
    <w:p w14:paraId="5729BCC2" w14:textId="1E436410" w:rsidR="00147FD6" w:rsidRDefault="00147FD6" w:rsidP="006E6047">
      <w:pPr>
        <w:pStyle w:val="Liststycke"/>
        <w:numPr>
          <w:ilvl w:val="0"/>
          <w:numId w:val="17"/>
        </w:numPr>
      </w:pPr>
      <w:r>
        <w:t>Ett nationellt ansvar behövs även fortsättningsvis för att säkerställa synskadades tillgång till litteratur i olika format som fungerar för såväl digitalt vana personer som dem som inte behärskar digitala verktyg.</w:t>
      </w:r>
    </w:p>
    <w:p w14:paraId="668A714C" w14:textId="54233F81" w:rsidR="00B56BBC" w:rsidRDefault="00AF71EA" w:rsidP="006E6047">
      <w:pPr>
        <w:pStyle w:val="Liststycke"/>
        <w:numPr>
          <w:ilvl w:val="0"/>
          <w:numId w:val="17"/>
        </w:numPr>
      </w:pPr>
      <w:r>
        <w:t xml:space="preserve">MTM:s förslag går tvärtemot </w:t>
      </w:r>
      <w:r w:rsidR="005F5815">
        <w:t>regeringens lässtrategi</w:t>
      </w:r>
      <w:r w:rsidR="0010577B">
        <w:t xml:space="preserve"> ”Alla ska läsa”.</w:t>
      </w:r>
    </w:p>
    <w:p w14:paraId="773B5097" w14:textId="4E497312" w:rsidR="00147FD6" w:rsidRDefault="00147FD6" w:rsidP="006E6047">
      <w:pPr>
        <w:pStyle w:val="Liststycke"/>
        <w:numPr>
          <w:ilvl w:val="0"/>
          <w:numId w:val="17"/>
        </w:numPr>
      </w:pPr>
      <w:r>
        <w:t>MTM:s aktiva urvalsansvar behöver finnas kvar.</w:t>
      </w:r>
    </w:p>
    <w:p w14:paraId="398FA332" w14:textId="3CDC44C1" w:rsidR="00147FD6" w:rsidRDefault="00147FD6" w:rsidP="006E6047">
      <w:pPr>
        <w:pStyle w:val="Liststycke"/>
        <w:numPr>
          <w:ilvl w:val="0"/>
          <w:numId w:val="17"/>
        </w:numPr>
      </w:pPr>
      <w:r>
        <w:t>Erfarenheter från Norge bör studeras, så att Sverige kan ta lärdom av vad som fungerat bra och mindre bra.</w:t>
      </w:r>
    </w:p>
    <w:p w14:paraId="56749632" w14:textId="77777777" w:rsidR="00147FD6" w:rsidRDefault="00147FD6" w:rsidP="00147FD6"/>
    <w:p w14:paraId="51B2DE9E" w14:textId="77777777" w:rsidR="00147FD6" w:rsidRDefault="00147FD6" w:rsidP="00147FD6">
      <w:r>
        <w:t xml:space="preserve">SRF:s samlade ståndpunkt är att </w:t>
      </w:r>
      <w:r w:rsidRPr="00695731">
        <w:rPr>
          <w:b/>
          <w:bCs/>
        </w:rPr>
        <w:t>MTM bör avvakta med nya riktlinjer</w:t>
      </w:r>
      <w:r>
        <w:t xml:space="preserve"> till dess att myndigheten kan visa att förändringen ger synskadade faktisk och nationellt likvärdig tillgång till litteratur.</w:t>
      </w:r>
    </w:p>
    <w:p w14:paraId="56134729" w14:textId="77777777" w:rsidR="00147FD6" w:rsidRDefault="00147FD6" w:rsidP="00147FD6"/>
    <w:p w14:paraId="3C9DE216" w14:textId="35E0A4AE" w:rsidR="00147FD6" w:rsidRDefault="00147FD6" w:rsidP="00147FD6">
      <w:pPr>
        <w:pStyle w:val="Rubrik2"/>
      </w:pPr>
      <w:r>
        <w:t>Marrake</w:t>
      </w:r>
      <w:r w:rsidR="003A1A3E">
        <w:t>c</w:t>
      </w:r>
      <w:r>
        <w:t>hfördraget och tillgänglighetsdirektivet</w:t>
      </w:r>
    </w:p>
    <w:p w14:paraId="1A502BF4" w14:textId="77A2A369" w:rsidR="00147FD6" w:rsidRPr="00485D0E" w:rsidRDefault="00147FD6" w:rsidP="00147FD6">
      <w:pPr>
        <w:rPr>
          <w:b/>
          <w:bCs/>
        </w:rPr>
      </w:pPr>
      <w:r>
        <w:t>Marrake</w:t>
      </w:r>
      <w:r w:rsidR="003A1A3E">
        <w:t>c</w:t>
      </w:r>
      <w:r>
        <w:t>hfördraget tillkom för att motverka bristen på tillgänglig litteratur för personer som är blinda eller har en synnedsättning. Syftet är att öka tillgången till böcker och andra skrifter genom att göra det möjligt att framställa och tillhandahålla exemplar i tillgängliga format.</w:t>
      </w:r>
      <w:r w:rsidR="003C3CA0">
        <w:t xml:space="preserve"> </w:t>
      </w:r>
      <w:r w:rsidR="00905F2B">
        <w:t>L</w:t>
      </w:r>
      <w:r>
        <w:t xml:space="preserve">agen (2023:254) om vissa produkters och tjänsters tillgänglighet (tillgänglighetsdirektivet) har ett annat rättsligt innehåll, men ett närliggande syfte. Det ska förbättra tillgången till produkter och tjänster för personer med funktionsnedsättning. </w:t>
      </w:r>
      <w:r w:rsidRPr="00534D61">
        <w:t xml:space="preserve">För SRF är det därför </w:t>
      </w:r>
      <w:r w:rsidRPr="00485D0E">
        <w:rPr>
          <w:b/>
          <w:bCs/>
        </w:rPr>
        <w:t>centralt att lagen används för att öka synskadades möjligheter att läsa, inte som ett argument för att begränsa lösningar som redan fungerar.</w:t>
      </w:r>
    </w:p>
    <w:p w14:paraId="4D2A6A46" w14:textId="77777777" w:rsidR="008633DF" w:rsidRDefault="008633DF" w:rsidP="00147FD6"/>
    <w:p w14:paraId="10B2DE2D" w14:textId="58A02401" w:rsidR="00147FD6" w:rsidRDefault="00147FD6" w:rsidP="00147FD6">
      <w:r>
        <w:t>I proposition 2022/23:42, Genomförande av tillgänglighetsdirektivet, behandlas förhållandet mellan tillgänglighetsdirektivet och de bestämmelser som genomför Marrake</w:t>
      </w:r>
      <w:r w:rsidR="003A1A3E">
        <w:t>c</w:t>
      </w:r>
      <w:r>
        <w:t xml:space="preserve">hfördraget. Där framgår att rätten att framställa exemplar av böcker och andra skrifter i tillgängligt format </w:t>
      </w:r>
      <w:r>
        <w:lastRenderedPageBreak/>
        <w:t>inte ska påverkas av tillgänglighetskraven. Regeringen bedömer också att regelverken inte överlappar varandra.</w:t>
      </w:r>
    </w:p>
    <w:p w14:paraId="67B46A99" w14:textId="77777777" w:rsidR="008633DF" w:rsidRDefault="008633DF" w:rsidP="00147FD6"/>
    <w:p w14:paraId="3902101B" w14:textId="77777777" w:rsidR="00147FD6" w:rsidRDefault="00147FD6" w:rsidP="00147FD6">
      <w:r>
        <w:t xml:space="preserve">Mot denna bakgrund är det </w:t>
      </w:r>
      <w:r w:rsidRPr="00A3099B">
        <w:t xml:space="preserve">anmärkningsvärt att en myndighet </w:t>
      </w:r>
      <w:r>
        <w:t>som har i uppdrag att tillgängliggöra litteratur för personer med funktionsnedsättning</w:t>
      </w:r>
      <w:r w:rsidRPr="00534D61">
        <w:t xml:space="preserve"> inte lägger större vikt vid regeringens uttryckliga bedömning.</w:t>
      </w:r>
    </w:p>
    <w:p w14:paraId="1F30B8A6" w14:textId="77777777" w:rsidR="00147FD6" w:rsidRDefault="00147FD6" w:rsidP="00147FD6"/>
    <w:p w14:paraId="2B286DCE" w14:textId="77777777" w:rsidR="00147FD6" w:rsidRDefault="00147FD6" w:rsidP="00147FD6">
      <w:pPr>
        <w:pStyle w:val="Rubrik2"/>
      </w:pPr>
      <w:r>
        <w:t>Faktisk användbarhet och digitala plattformar</w:t>
      </w:r>
    </w:p>
    <w:p w14:paraId="490945D6" w14:textId="77777777" w:rsidR="00147FD6" w:rsidRDefault="00147FD6" w:rsidP="00147FD6">
      <w:r>
        <w:t>SRF ser att kommersiella e-böcker kommer att spela en större roll. Det är positivt att förlag och distributörer tar ett större ansvar för att göra litteratur tillgänglig från början. Däremot kan förekomsten av en kommersiell e-bok, eller uppgifter i tillgänglighetsmetadata, inte i sig vara tillräcklig grund för att avstå från anpassning.</w:t>
      </w:r>
    </w:p>
    <w:p w14:paraId="60CD6810" w14:textId="77777777" w:rsidR="0058339D" w:rsidRDefault="0058339D" w:rsidP="00147FD6"/>
    <w:p w14:paraId="03C8FFF5" w14:textId="77777777" w:rsidR="00147FD6" w:rsidRDefault="00147FD6" w:rsidP="00147FD6">
      <w:r w:rsidRPr="000B1D39">
        <w:rPr>
          <w:b/>
          <w:bCs/>
        </w:rPr>
        <w:t>För synskadade avgörs tillgängligheten av om boken faktiskt går att använda.</w:t>
      </w:r>
      <w:r>
        <w:t xml:space="preserve"> Det handlar om huruvida den fungerar med skärmläsare, punktdisplay och förstoring. Det handlar också om att navigeringen fungerar, att tabeller går att ta del av, att bilder är tydligt beskrivna och att det går att läsa boken utifrån olika villkor och förutsättningar.</w:t>
      </w:r>
    </w:p>
    <w:p w14:paraId="18E52B27" w14:textId="77777777" w:rsidR="00854824" w:rsidRDefault="00854824" w:rsidP="00147FD6"/>
    <w:p w14:paraId="51100BFB" w14:textId="2AB53D87" w:rsidR="00147FD6" w:rsidRDefault="00147FD6" w:rsidP="00147FD6">
      <w:r>
        <w:t>Tillgänglighetsmetadata kan vara ett viktigt stöd, men metadata kan inte ersätta faktisk användbarhet. Det går inte att utifrån enbart metadata avgöra om en e-bok fungerar för en person som använder skärmläsare, punktdisplay eller förstoring. Det går inte heller att avgöra om bildbeskrivningar, struktur, tabeller och andra innehållsmässiga delar är tillräckliga för att läsaren faktiskt ska kunna tillgodogöra sig boken. Framför</w:t>
      </w:r>
      <w:r w:rsidR="00854824">
        <w:t xml:space="preserve"> </w:t>
      </w:r>
      <w:r>
        <w:t>allt ska e-böcker inte vara det enda alternativet för synskadade som i de flesta fall behöver mer anpassning än vad tillgänglighetsdirektivet specificerar.</w:t>
      </w:r>
    </w:p>
    <w:p w14:paraId="35FA15DF" w14:textId="77777777" w:rsidR="00854824" w:rsidRDefault="00854824" w:rsidP="00147FD6"/>
    <w:p w14:paraId="6FA87BF0" w14:textId="77777777" w:rsidR="00147FD6" w:rsidRDefault="00147FD6" w:rsidP="00147FD6">
      <w:r w:rsidRPr="002A03D4">
        <w:rPr>
          <w:b/>
          <w:bCs/>
        </w:rPr>
        <w:t>Tillgängligheten i digitala tjänster är dessutom inte statisk.</w:t>
      </w:r>
      <w:r>
        <w:t xml:space="preserve"> En app eller e-bokstjänst som fungerar i dag kan efter en uppdatering få ett </w:t>
      </w:r>
      <w:r>
        <w:lastRenderedPageBreak/>
        <w:t>förändrat gränssnitt, nya inloggningsflöden eller försämrat stöd för hjälpmedel. För den som är beroende av synhjälpmedel kan sådana förändringar innebära att tillgången till litteratur plötsligt försämras.</w:t>
      </w:r>
    </w:p>
    <w:p w14:paraId="2DA7ABA3" w14:textId="77777777" w:rsidR="00147FD6" w:rsidRDefault="00147FD6" w:rsidP="00147FD6"/>
    <w:p w14:paraId="14705306" w14:textId="77777777" w:rsidR="00147FD6" w:rsidRPr="00721662" w:rsidRDefault="00147FD6" w:rsidP="00147FD6">
      <w:pPr>
        <w:rPr>
          <w:sz w:val="27"/>
          <w:szCs w:val="27"/>
        </w:rPr>
      </w:pPr>
      <w:r>
        <w:t xml:space="preserve">Det är också utmanande att behöva lära sig flera olika appar och plattformar för att läsa. För en person med synnedsättning kan varje ny plattform innebära nya hinder, nya kortkommandon, nya otillgängliga moment. Synskadade får heller inte samma överblick av en ny plattform som en person som ser hela skärmen får. Därför behöver vi ofta utbildning i hur plattformen används med de specifika hjälpmedlen. Den som utbildar behöver ha kunskap om såväl plattformen som våra hjälpmedel. </w:t>
      </w:r>
      <w:r w:rsidRPr="00DB0CD9">
        <w:t>Detta stärker behovet av en sammanhållen och tillgänglig biblioteksmiljö</w:t>
      </w:r>
      <w:r>
        <w:t xml:space="preserve"> med en gemensam databas där det går att hitta </w:t>
      </w:r>
      <w:r w:rsidRPr="00721662">
        <w:rPr>
          <w:sz w:val="27"/>
          <w:szCs w:val="27"/>
        </w:rPr>
        <w:t>tillgängliga böcker och läsa dem på det sätt som fungerar för den enskilde.</w:t>
      </w:r>
    </w:p>
    <w:p w14:paraId="342DD99C" w14:textId="77777777" w:rsidR="00147FD6" w:rsidRDefault="00147FD6" w:rsidP="00147FD6"/>
    <w:p w14:paraId="5E01F3A3" w14:textId="77777777" w:rsidR="00147FD6" w:rsidRDefault="00147FD6" w:rsidP="00147FD6">
      <w:pPr>
        <w:pStyle w:val="Rubrik2"/>
      </w:pPr>
      <w:r>
        <w:t>Synskadade behöver fortfarande ett tillgängligt bibliotek</w:t>
      </w:r>
    </w:p>
    <w:p w14:paraId="0BEC9660" w14:textId="77777777" w:rsidR="00147FD6" w:rsidRPr="00CC25DE" w:rsidRDefault="00147FD6" w:rsidP="00147FD6">
      <w:pPr>
        <w:rPr>
          <w:b/>
          <w:bCs/>
        </w:rPr>
      </w:pPr>
      <w:r w:rsidRPr="00CC25DE">
        <w:rPr>
          <w:b/>
          <w:bCs/>
        </w:rPr>
        <w:t xml:space="preserve">För synskadade är </w:t>
      </w:r>
      <w:proofErr w:type="spellStart"/>
      <w:r w:rsidRPr="00CC25DE">
        <w:rPr>
          <w:b/>
          <w:bCs/>
        </w:rPr>
        <w:t>Legimus</w:t>
      </w:r>
      <w:proofErr w:type="spellEnd"/>
      <w:r w:rsidRPr="00CC25DE">
        <w:rPr>
          <w:b/>
          <w:bCs/>
        </w:rPr>
        <w:t xml:space="preserve"> det enda fungerande biblioteket.</w:t>
      </w:r>
    </w:p>
    <w:p w14:paraId="0E519268" w14:textId="77777777" w:rsidR="00147FD6" w:rsidRDefault="00147FD6" w:rsidP="00147FD6">
      <w:r>
        <w:t>Att det finns bokhandlare innebär inte att behovet av bibliotek upphör för seende läsare. På samma sätt kan förekomsten av kommersiella e-böcker inte innebära att synskadade hänvisas bort från ett fungerande tillgängligt bibliotek. Bibliotekens roll är inte att vara ett alternativ endast när marknaden saknar produkter. Biblioteken har ett demokratiskt uppdrag att ge tillgång till litteratur, information och bildning.</w:t>
      </w:r>
    </w:p>
    <w:p w14:paraId="48DE3232" w14:textId="77777777" w:rsidR="00F60C2D" w:rsidRDefault="00F60C2D" w:rsidP="00147FD6"/>
    <w:p w14:paraId="6A6A55BA" w14:textId="3CB00C8C" w:rsidR="00147FD6" w:rsidRDefault="00147FD6" w:rsidP="00147FD6">
      <w:r>
        <w:t xml:space="preserve">En ordning där synskadade i första hand hänvisas till kommersiella alternativ, eller till vad det lokala biblioteket har råd att köpa in riskerar att skapa en sämre biblioteksrätt för synskadade än för andra läsare. Seende låntagare kan beställa fjärrlån när det lokala biblioteket saknar en bok, medan </w:t>
      </w:r>
      <w:r w:rsidRPr="00DB0CD9">
        <w:rPr>
          <w:b/>
          <w:bCs/>
        </w:rPr>
        <w:t>synskadade behöver ett nationellt alternativ för att kunna läsa på sina villkor.</w:t>
      </w:r>
    </w:p>
    <w:p w14:paraId="0C67B862" w14:textId="77777777" w:rsidR="00147FD6" w:rsidRDefault="00147FD6" w:rsidP="00147FD6"/>
    <w:p w14:paraId="02194C17" w14:textId="77777777" w:rsidR="00147FD6" w:rsidRDefault="00147FD6" w:rsidP="00147FD6">
      <w:r>
        <w:lastRenderedPageBreak/>
        <w:t>Synskadades möjlighet att läsa får inte avgöras av vilket bibliotek personen tillhör, vilka e-bokstjänster kommunen har upphandlat eller om det lokala biblioteket har ekonomiska möjligheter att köpa in en viss titel. MTM kan därför inte frånsäga sig ansvaret att vara ett tillgängligt bibliotek för synskadade.</w:t>
      </w:r>
      <w:r w:rsidRPr="00894710">
        <w:rPr>
          <w:b/>
          <w:bCs/>
        </w:rPr>
        <w:t xml:space="preserve"> Kommersiella e-böcker kan i viss mån komplettera Legimus, men </w:t>
      </w:r>
      <w:r w:rsidRPr="001D54FB">
        <w:rPr>
          <w:b/>
          <w:bCs/>
        </w:rPr>
        <w:t>det befriar inte MTM från ansvaret</w:t>
      </w:r>
      <w:r>
        <w:t xml:space="preserve"> att säkerställa en nationellt likvärdig tillgång till litteratur.</w:t>
      </w:r>
    </w:p>
    <w:p w14:paraId="1F88C295" w14:textId="77777777" w:rsidR="00147FD6" w:rsidRDefault="00147FD6" w:rsidP="00147FD6"/>
    <w:p w14:paraId="5C9D98C2" w14:textId="77777777" w:rsidR="00147FD6" w:rsidRDefault="00147FD6" w:rsidP="006107E1">
      <w:pPr>
        <w:pStyle w:val="Rubrik2"/>
      </w:pPr>
      <w:r w:rsidRPr="006107E1">
        <w:t>Mänskligt inlästa talböcker och varierad läsning</w:t>
      </w:r>
    </w:p>
    <w:p w14:paraId="24FA3806" w14:textId="77777777" w:rsidR="00147FD6" w:rsidRDefault="00147FD6" w:rsidP="00147FD6">
      <w:r>
        <w:t>Tillgången till mänskligt inlästa talböcker, ofta med tillhörande text är mycket viktig för synskadade. Det gör det möjligt att växla mellan att lyssna och läsa, eller att kombinera olika sätt att läsa beroende på situation, innehåll, ork och behov.</w:t>
      </w:r>
    </w:p>
    <w:p w14:paraId="29D1C524" w14:textId="77777777" w:rsidR="00B56CA1" w:rsidRDefault="00B56CA1" w:rsidP="00147FD6"/>
    <w:p w14:paraId="2E440716" w14:textId="77777777" w:rsidR="00147FD6" w:rsidRDefault="00147FD6" w:rsidP="00147FD6">
      <w:r>
        <w:t xml:space="preserve">Möjligheten </w:t>
      </w:r>
      <w:r w:rsidRPr="00894710">
        <w:rPr>
          <w:sz w:val="27"/>
          <w:szCs w:val="27"/>
        </w:rPr>
        <w:t>att</w:t>
      </w:r>
      <w:r w:rsidRPr="009D01C9">
        <w:rPr>
          <w:b/>
          <w:bCs/>
          <w:sz w:val="27"/>
          <w:szCs w:val="27"/>
        </w:rPr>
        <w:t xml:space="preserve"> välja mellan tal och text är inte en bekvämlighetsfråga</w:t>
      </w:r>
      <w:r>
        <w:t xml:space="preserve">, utan en förutsättning för likvärdig läsning. Punktskrift och text kan vara nödvändigt för att ta del av stavning, struktur, citat, främmande ord, tabeller och detaljer. Samtidigt tar läsning med punktdisplay och förstoringshjälpmedel ofta längre tid än att lyssna på tal. Vid längre texter kan tal vara avgörande för lästempo och uthållighet. Därför behöver många kunna växla mellan tal och text. Långt ifrån alla våra medlemmar kan läsa punktskrift. Många blir synskadade sent i livet och då är att läsa med öronen det enda alternativet. Talsyntesinläsningar kan vara väldigt svåra att förstå för exempelvis äldre </w:t>
      </w:r>
      <w:proofErr w:type="spellStart"/>
      <w:r>
        <w:t>nysynskadade</w:t>
      </w:r>
      <w:proofErr w:type="spellEnd"/>
      <w:r>
        <w:t xml:space="preserve"> eftersom uttal och tonfall skiljer sig mycket från mänskliga inläsningar.</w:t>
      </w:r>
    </w:p>
    <w:p w14:paraId="02D0A6B8" w14:textId="77777777" w:rsidR="00147FD6" w:rsidRDefault="00147FD6" w:rsidP="00147FD6"/>
    <w:p w14:paraId="19989E83" w14:textId="77777777" w:rsidR="00147FD6" w:rsidRDefault="00147FD6" w:rsidP="00147FD6">
      <w:r>
        <w:t xml:space="preserve">MTM har i sin egen rapport om studenters erfarenheter av Legimus beskrivit att Legimus är avgörande för studierna och att möjligheten att läsa och lyssna samtidigt är viktig för många användare. Även om den aktuella promemorian gäller allmänlitteratur är erfarenheterna relevanta. De visar att </w:t>
      </w:r>
      <w:r w:rsidRPr="003279F0">
        <w:rPr>
          <w:b/>
          <w:bCs/>
        </w:rPr>
        <w:t>tillgång till litteratur inte bara handlar om att tekniskt komma åt en text</w:t>
      </w:r>
      <w:r>
        <w:t>, utan om att kunna läsa på ett sätt som fungerar i praktiken.</w:t>
      </w:r>
    </w:p>
    <w:p w14:paraId="67B856AC" w14:textId="77777777" w:rsidR="003B3794" w:rsidRDefault="00147FD6" w:rsidP="00147FD6">
      <w:r>
        <w:lastRenderedPageBreak/>
        <w:t>En kommersiell e-bok kan inte utan vidare jämställas med en mänskligt inläst talbok med tillhörande text. En syntetisk röst kan vara ett användbart verktyg i vissa sammanhang, men ersätter inte mänsklig inläsning.</w:t>
      </w:r>
    </w:p>
    <w:p w14:paraId="66B5F554" w14:textId="77777777" w:rsidR="003B3794" w:rsidRDefault="003B3794" w:rsidP="00147FD6"/>
    <w:p w14:paraId="0F05CDE1" w14:textId="25E1E90A" w:rsidR="00147FD6" w:rsidRDefault="00147FD6" w:rsidP="00147FD6">
      <w:r w:rsidRPr="00864044">
        <w:rPr>
          <w:b/>
          <w:bCs/>
        </w:rPr>
        <w:t>Om MTM:s förslag till nya produktionsriktlinjer skulle bli verklighet</w:t>
      </w:r>
      <w:r>
        <w:t xml:space="preserve"> </w:t>
      </w:r>
      <w:r w:rsidRPr="003279F0">
        <w:rPr>
          <w:b/>
          <w:bCs/>
        </w:rPr>
        <w:t>ser vi en överhängande risk</w:t>
      </w:r>
      <w:r>
        <w:t xml:space="preserve"> att </w:t>
      </w:r>
      <w:r w:rsidRPr="003279F0">
        <w:t>synskadade inte kommer kunna tillgodogöra sig litteratur.</w:t>
      </w:r>
      <w:r>
        <w:t xml:space="preserve"> Långt ifrån alla synskadade klarar av att ta sig igenom en bok från pärm till pärm inläst med talsyntes. </w:t>
      </w:r>
    </w:p>
    <w:p w14:paraId="6CB7E363" w14:textId="77777777" w:rsidR="00147FD6" w:rsidRDefault="00147FD6" w:rsidP="00147FD6"/>
    <w:p w14:paraId="659B4513" w14:textId="77777777" w:rsidR="00147FD6" w:rsidRDefault="00147FD6" w:rsidP="00147FD6">
      <w:pPr>
        <w:pStyle w:val="Rubrik2"/>
      </w:pPr>
      <w:r>
        <w:t>Digitalt utanförskap, fysiska talböcker och talboksspelare</w:t>
      </w:r>
    </w:p>
    <w:p w14:paraId="10B5CA57" w14:textId="77777777" w:rsidR="00147FD6" w:rsidRDefault="00147FD6" w:rsidP="00147FD6">
      <w:r>
        <w:t>Alla synskadade kan inte använda appar, e-bokstjänster, skärmläsare, punktdisplay eller andra digitala lösningar. Det kan handla om äldre, personer med ytterligare funktionsnedsättningar eller personer som av andra skäl inte har möjlighet att använda digital teknik.</w:t>
      </w:r>
    </w:p>
    <w:p w14:paraId="77E2592C" w14:textId="77777777" w:rsidR="00080611" w:rsidRDefault="00080611" w:rsidP="00147FD6"/>
    <w:p w14:paraId="29201651" w14:textId="77777777" w:rsidR="00147FD6" w:rsidRDefault="00147FD6" w:rsidP="00147FD6">
      <w:r>
        <w:t>För dessa personer är talböcker på fysisk bärare eller i en särskild talboksspelare fortfarande det enda fungerande sättet att ta del av litteratur. Att kunna få en talbok direkt till en spelare eller på annat icke appbaserat sätt är för vissa inte ett alternativ bland flera, utan en förutsättning för att över huvud taget kunna läsa.</w:t>
      </w:r>
    </w:p>
    <w:p w14:paraId="09A3A9E7" w14:textId="77777777" w:rsidR="00AD15C7" w:rsidRDefault="00AD15C7" w:rsidP="00147FD6"/>
    <w:p w14:paraId="4F04E96E" w14:textId="13102957" w:rsidR="00147FD6" w:rsidRDefault="00147FD6" w:rsidP="00147FD6">
      <w:r>
        <w:t xml:space="preserve">Det finns redan en etablerad ordning där biblioteket genom </w:t>
      </w:r>
      <w:r w:rsidR="00DF06DA">
        <w:t>”</w:t>
      </w:r>
      <w:r w:rsidR="00AD15C7" w:rsidRPr="00DF06DA">
        <w:t>T</w:t>
      </w:r>
      <w:r w:rsidRPr="00DF06DA">
        <w:t>alboken</w:t>
      </w:r>
      <w:r>
        <w:t xml:space="preserve"> kommer</w:t>
      </w:r>
      <w:r w:rsidR="00DF06DA">
        <w:t>”</w:t>
      </w:r>
      <w:r>
        <w:t xml:space="preserve"> kan hjälpa låntagaren att hitta böcker och lägga dem i låntagarens </w:t>
      </w:r>
      <w:proofErr w:type="spellStart"/>
      <w:r>
        <w:t>Legimusbokhylla</w:t>
      </w:r>
      <w:proofErr w:type="spellEnd"/>
      <w:r>
        <w:t>. Den som lånar en taltidningspelare genom prenumeration på en taltidning kan också få talböcker direkt till spelaren.</w:t>
      </w:r>
    </w:p>
    <w:p w14:paraId="0A7C1028" w14:textId="77777777" w:rsidR="00147FD6" w:rsidRDefault="00147FD6" w:rsidP="00147FD6">
      <w:r>
        <w:t xml:space="preserve">MTM uppmärksammar själva i promemorian att </w:t>
      </w:r>
      <w:r w:rsidRPr="00AD1F15">
        <w:t>läsare som är i behov av talböcker på fysisk bärare kan påverkas särskilt av förändringarna.</w:t>
      </w:r>
      <w:r w:rsidRPr="00836597">
        <w:rPr>
          <w:b/>
          <w:bCs/>
        </w:rPr>
        <w:t xml:space="preserve"> </w:t>
      </w:r>
      <w:r>
        <w:t>SRF delar den bedömningen, men anser att frågan måste ges betydligt större tyngd.</w:t>
      </w:r>
      <w:r w:rsidRPr="00AD1F15">
        <w:rPr>
          <w:b/>
          <w:bCs/>
        </w:rPr>
        <w:t xml:space="preserve"> Tillgänglighetslagen får inte leda till att personer som inte kan använda digitala tjänster isoleras</w:t>
      </w:r>
      <w:r>
        <w:t xml:space="preserve"> från läsning och informationsinhämtning.</w:t>
      </w:r>
    </w:p>
    <w:p w14:paraId="54849749" w14:textId="77777777" w:rsidR="00147FD6" w:rsidRDefault="00147FD6" w:rsidP="00147FD6"/>
    <w:p w14:paraId="7DACB3AB" w14:textId="77777777" w:rsidR="00147FD6" w:rsidRDefault="00147FD6" w:rsidP="00147FD6">
      <w:pPr>
        <w:pStyle w:val="Rubrik2"/>
      </w:pPr>
      <w:r>
        <w:t>MTM:s aktiva urvalsansvar måste finnas kvar</w:t>
      </w:r>
    </w:p>
    <w:p w14:paraId="65759364" w14:textId="77777777" w:rsidR="00147FD6" w:rsidRDefault="00147FD6" w:rsidP="00147FD6">
      <w:r>
        <w:t>SRF vill framhålla vikten av att MTM även fortsättningsvis har ett aktivt urvalsansvar.</w:t>
      </w:r>
    </w:p>
    <w:p w14:paraId="61404DDC" w14:textId="77777777" w:rsidR="000F5AB3" w:rsidRDefault="000F5AB3" w:rsidP="00147FD6"/>
    <w:p w14:paraId="6AA44F4C" w14:textId="77777777" w:rsidR="00147FD6" w:rsidRDefault="00147FD6" w:rsidP="00147FD6">
      <w:r>
        <w:t xml:space="preserve">Många synskadade läsare har inte möjlighet att själva hitta aktuell </w:t>
      </w:r>
      <w:r w:rsidRPr="00897767">
        <w:rPr>
          <w:sz w:val="27"/>
          <w:szCs w:val="27"/>
        </w:rPr>
        <w:t>litteratur och skicka in förslag på titlar som bör anpassas.</w:t>
      </w:r>
      <w:r>
        <w:t xml:space="preserve"> </w:t>
      </w:r>
      <w:r w:rsidRPr="00FF0A32">
        <w:rPr>
          <w:b/>
          <w:bCs/>
        </w:rPr>
        <w:t xml:space="preserve">Synnedsättning innebär inte bara svårigheter att läsa själva boken, utan också </w:t>
      </w:r>
      <w:r w:rsidRPr="00984F84">
        <w:rPr>
          <w:b/>
          <w:bCs/>
        </w:rPr>
        <w:t>svårigheter att överblicka utgivningen, följa nya titlar och upptäcka relevanta böcker</w:t>
      </w:r>
      <w:r>
        <w:t xml:space="preserve">. Vi har inte samma möjligheter att få information som seende personer. Ofta måste vi aktivt söka på olika ställen, medan seende personer översköljs av informationen så fort de lämnar hemmet genom reklamannonser, den lokala butikens boksortiment </w:t>
      </w:r>
      <w:proofErr w:type="gramStart"/>
      <w:r>
        <w:t>etc.</w:t>
      </w:r>
      <w:proofErr w:type="gramEnd"/>
      <w:r>
        <w:t xml:space="preserve"> Därför behöver MTM:s utgivning och möjlighet att hitta böcker i en tillgänglig databas fortsatt finnas kvar. </w:t>
      </w:r>
    </w:p>
    <w:p w14:paraId="3C830CFF" w14:textId="77777777" w:rsidR="00147FD6" w:rsidRDefault="00147FD6" w:rsidP="00147FD6"/>
    <w:p w14:paraId="0A966C2E" w14:textId="44ABA9A4" w:rsidR="00147FD6" w:rsidRDefault="00147FD6" w:rsidP="00147FD6">
      <w:r>
        <w:t xml:space="preserve">Om MTM:s anpassning i alltför hög grad utgår från en namngiven läsares enskilda förslag finns en risk att viktig litteratur aldrig blir tillgänglig för den här målgruppen. Det gäller särskilt nyutkommen litteratur, barn- och ungdomslitteratur och böcker som ännu inte har hunnit efterfrågas av målgruppen. Det riskerar också att försena produktionen, eftersom produktionen först kommer </w:t>
      </w:r>
      <w:r w:rsidR="00A32CA2">
        <w:t>i gång</w:t>
      </w:r>
      <w:r>
        <w:t xml:space="preserve"> när en enskild låntagare har upptäckt titeln, kontaktat sitt bibliotek och fått förslaget vidarebefordrat.</w:t>
      </w:r>
    </w:p>
    <w:p w14:paraId="47C0D682" w14:textId="77777777" w:rsidR="00147FD6" w:rsidRDefault="00147FD6" w:rsidP="00147FD6"/>
    <w:p w14:paraId="4BF2231A" w14:textId="77777777" w:rsidR="00147FD6" w:rsidRDefault="00147FD6" w:rsidP="00147FD6">
      <w:r w:rsidRPr="00A81C30">
        <w:rPr>
          <w:b/>
          <w:bCs/>
        </w:rPr>
        <w:t>Bibliotekarier har särskild kompetens</w:t>
      </w:r>
      <w:r>
        <w:t xml:space="preserve"> att följa utgivningen, bedöma vilka titlar som bör prioriteras och säkerställa ett brett och relevant utbud. </w:t>
      </w:r>
      <w:r w:rsidRPr="00A81C30">
        <w:t xml:space="preserve">Den kompetensen är </w:t>
      </w:r>
      <w:r w:rsidRPr="00A81C30">
        <w:rPr>
          <w:b/>
          <w:bCs/>
        </w:rPr>
        <w:t>avgörande för att synskadade ska få tillgång</w:t>
      </w:r>
      <w:r w:rsidRPr="00897767">
        <w:rPr>
          <w:b/>
          <w:bCs/>
        </w:rPr>
        <w:t xml:space="preserve"> till aktuell litteratur</w:t>
      </w:r>
      <w:r>
        <w:t xml:space="preserve"> på ett likvärdigt sätt.</w:t>
      </w:r>
    </w:p>
    <w:p w14:paraId="01574C89" w14:textId="77777777" w:rsidR="00345A7C" w:rsidRDefault="00345A7C" w:rsidP="00147FD6"/>
    <w:p w14:paraId="2339692D" w14:textId="77777777" w:rsidR="00147FD6" w:rsidRPr="005439FF" w:rsidRDefault="00147FD6" w:rsidP="00147FD6">
      <w:pPr>
        <w:rPr>
          <w:b/>
          <w:bCs/>
        </w:rPr>
      </w:pPr>
      <w:r>
        <w:t xml:space="preserve">Detta gäller särskilt barn. Barn kan inte förväntas bevaka bokutgivning, identifiera vilka böcker som borde finnas i tillgängligt format och själva initiera nyproduktion. </w:t>
      </w:r>
      <w:r w:rsidRPr="005439FF">
        <w:rPr>
          <w:b/>
          <w:bCs/>
        </w:rPr>
        <w:t xml:space="preserve">Ett barn med synnedsättning ska inte få ett </w:t>
      </w:r>
      <w:r w:rsidRPr="005439FF">
        <w:rPr>
          <w:b/>
          <w:bCs/>
        </w:rPr>
        <w:lastRenderedPageBreak/>
        <w:t xml:space="preserve">smalare, senare eller mer slumpmässigt litteraturutbud </w:t>
      </w:r>
      <w:r w:rsidRPr="005439FF">
        <w:t>därför att systemet bygger på individuella beställningar.</w:t>
      </w:r>
    </w:p>
    <w:p w14:paraId="1982253D" w14:textId="77777777" w:rsidR="008C6E75" w:rsidRDefault="008C6E75" w:rsidP="00147FD6"/>
    <w:p w14:paraId="6C8496D2" w14:textId="77777777" w:rsidR="00147FD6" w:rsidRDefault="00147FD6" w:rsidP="00147FD6">
      <w:r>
        <w:t>Läsning är avgörande för barns språkutveckling, fantasi, begreppsbildning, skolgång och delaktighet. Barn med synnedsättning behöver få möta ny, aktuell och åldersanpassad litteratur på samma sätt som andra barn. Därför behöver MTM även fortsättningsvis göra ett aktivt och professionellt urval av barn- och ungdomslitteratur.</w:t>
      </w:r>
    </w:p>
    <w:p w14:paraId="359AEE53" w14:textId="77777777" w:rsidR="00147FD6" w:rsidRDefault="00147FD6" w:rsidP="00147FD6"/>
    <w:p w14:paraId="13B5BFB2" w14:textId="77777777" w:rsidR="00147FD6" w:rsidRDefault="00147FD6" w:rsidP="00147FD6">
      <w:pPr>
        <w:pStyle w:val="Rubrik2"/>
      </w:pPr>
      <w:r>
        <w:t>Norge bör studeras närmare</w:t>
      </w:r>
    </w:p>
    <w:p w14:paraId="3E87C577" w14:textId="77777777" w:rsidR="00147FD6" w:rsidRDefault="00147FD6" w:rsidP="00147FD6">
      <w:r>
        <w:t xml:space="preserve">SRF anser att MTM bör studera erfarenheterna från Norge, där Tibi, Biblioteket for tilrettelagt litteratur, är en tjänst från </w:t>
      </w:r>
      <w:proofErr w:type="spellStart"/>
      <w:r>
        <w:t>Nasjonalbiblioteket</w:t>
      </w:r>
      <w:proofErr w:type="spellEnd"/>
      <w:r>
        <w:t>.</w:t>
      </w:r>
    </w:p>
    <w:p w14:paraId="71993FC1" w14:textId="77777777" w:rsidR="00E35846" w:rsidRDefault="00E35846" w:rsidP="00147FD6"/>
    <w:p w14:paraId="79AF29BD" w14:textId="43501097" w:rsidR="00147FD6" w:rsidRDefault="00147FD6" w:rsidP="00147FD6">
      <w:r w:rsidRPr="00C709AA">
        <w:rPr>
          <w:b/>
          <w:bCs/>
        </w:rPr>
        <w:t xml:space="preserve">Den norska erfarenheten visar att frågan inte kan reduceras till ett </w:t>
      </w:r>
      <w:r w:rsidRPr="00C709AA">
        <w:rPr>
          <w:b/>
          <w:bCs/>
          <w:sz w:val="27"/>
          <w:szCs w:val="27"/>
        </w:rPr>
        <w:t>enkelt val mellan kommersiella e-böcker och ett tillgängligt bibliotek</w:t>
      </w:r>
      <w:r w:rsidRPr="00C709AA">
        <w:rPr>
          <w:b/>
          <w:bCs/>
        </w:rPr>
        <w:t>.</w:t>
      </w:r>
      <w:r>
        <w:t xml:space="preserve"> Tibi anger att studenter kan låna de kursböcker som inte finns till försäljning som universellt utformade e-böcker. Tibi anger också att blinda och synsvaga studenter med </w:t>
      </w:r>
      <w:proofErr w:type="spellStart"/>
      <w:r>
        <w:t>produktionsrätt</w:t>
      </w:r>
      <w:proofErr w:type="spellEnd"/>
      <w:r>
        <w:t xml:space="preserve"> fortsatt har tillgång till alla kursböcker och kan spela upp dem som tidigare.</w:t>
      </w:r>
    </w:p>
    <w:p w14:paraId="091B6B9D" w14:textId="77777777" w:rsidR="0068714F" w:rsidRDefault="0068714F" w:rsidP="00147FD6"/>
    <w:p w14:paraId="4FE12AC0" w14:textId="77777777" w:rsidR="00147FD6" w:rsidRDefault="00147FD6" w:rsidP="00147FD6">
      <w:r>
        <w:t>Enligt uppgifter som SRF tagit del av fortsätter Tibi att producera böcker för synskadade studenter, även som e-böcker. Norge har också sett flera av de problem som SRF varnar för i denna skrivelse. Det har påvisats bristande tillgänglighet i de kommersiella plattformar där böckerna ska läsas, liksom brister i bildbeskrivningar, tabeller och diagram.</w:t>
      </w:r>
    </w:p>
    <w:p w14:paraId="355DBA76" w14:textId="77777777" w:rsidR="007122ED" w:rsidRDefault="007122ED" w:rsidP="00147FD6"/>
    <w:p w14:paraId="0C31E198" w14:textId="77777777" w:rsidR="00147FD6" w:rsidRDefault="00147FD6" w:rsidP="00147FD6">
      <w:r>
        <w:t xml:space="preserve">Detta ligger helt i linje med SRF:s invändningar mot MTM:s promemoria och de nya produktionsriktlinjerna för studentlitteratur. </w:t>
      </w:r>
      <w:r w:rsidRPr="00CE0798">
        <w:rPr>
          <w:b/>
          <w:bCs/>
        </w:rPr>
        <w:t xml:space="preserve">Tillgängligheten måste bedömas utifrån den faktiska </w:t>
      </w:r>
      <w:proofErr w:type="spellStart"/>
      <w:r w:rsidRPr="00CE0798">
        <w:rPr>
          <w:b/>
          <w:bCs/>
        </w:rPr>
        <w:t>lässituationen</w:t>
      </w:r>
      <w:proofErr w:type="spellEnd"/>
      <w:r>
        <w:t>, inte enbart utifrån att boken finns på marknaden eller har tillgänglighetsmetadata.</w:t>
      </w:r>
    </w:p>
    <w:p w14:paraId="70A82F86" w14:textId="77777777" w:rsidR="00147FD6" w:rsidRDefault="00147FD6" w:rsidP="00147FD6">
      <w:r w:rsidRPr="007D2C21">
        <w:rPr>
          <w:b/>
          <w:bCs/>
        </w:rPr>
        <w:t xml:space="preserve">Kommersiella e-böcker kan vara ett viktigt komplement, men de kan inte ersätta det nationella ansvaret </w:t>
      </w:r>
      <w:r>
        <w:t>för att synskadade får litteratur i fungerande format.</w:t>
      </w:r>
    </w:p>
    <w:p w14:paraId="7F34276E" w14:textId="77777777" w:rsidR="00147FD6" w:rsidRDefault="00147FD6" w:rsidP="00147FD6"/>
    <w:p w14:paraId="0ED99BA1" w14:textId="0C598B6E" w:rsidR="00147FD6" w:rsidRDefault="00147FD6" w:rsidP="00147FD6">
      <w:pPr>
        <w:pStyle w:val="Rubrik2"/>
      </w:pPr>
      <w:r>
        <w:t>Avslutande ställningstaganden</w:t>
      </w:r>
    </w:p>
    <w:p w14:paraId="4D341BEC" w14:textId="77777777" w:rsidR="00147FD6" w:rsidRDefault="00147FD6" w:rsidP="00147FD6">
      <w:r>
        <w:t xml:space="preserve">SRF delar ambitionen att fler böcker ska vara tillgängliga från början. Men </w:t>
      </w:r>
      <w:r w:rsidRPr="00E072EE">
        <w:rPr>
          <w:b/>
          <w:bCs/>
        </w:rPr>
        <w:t>MTM:s promemoria visar inte att den föreslagna förändringen leder till likvärdig tillgång</w:t>
      </w:r>
      <w:r>
        <w:t xml:space="preserve"> till litteratur för personer med synnedsättning.</w:t>
      </w:r>
    </w:p>
    <w:p w14:paraId="54CF86BD" w14:textId="77777777" w:rsidR="00C14793" w:rsidRDefault="00C14793" w:rsidP="00147FD6"/>
    <w:p w14:paraId="631FFB8F" w14:textId="05DB9AD5" w:rsidR="00147FD6" w:rsidRDefault="00147FD6" w:rsidP="00147FD6">
      <w:r w:rsidRPr="008D6BA2">
        <w:rPr>
          <w:b/>
          <w:bCs/>
        </w:rPr>
        <w:t>Tvärtom</w:t>
      </w:r>
      <w:r>
        <w:t xml:space="preserve"> visar både MTM:s egen konsekvensanalys och erfarenheter från synskadade läsare att det finns betydande risker. Det handlar om bristande likvärdighet, ökad komplexitet, försämrad tillgång, minskad tillgång för personer i digitalt utanförskap, ökat beroende av lokala biblioteksbudgetar och en risk att mänskligt inlästa talböcker med tillhörande text ersätts av lösningar som inte ger samma faktiska användbarhet.</w:t>
      </w:r>
    </w:p>
    <w:p w14:paraId="62676680" w14:textId="77777777" w:rsidR="005A3E70" w:rsidRDefault="005A3E70" w:rsidP="00147FD6"/>
    <w:p w14:paraId="5D027A15" w14:textId="77777777" w:rsidR="00147FD6" w:rsidRDefault="00147FD6" w:rsidP="00147FD6">
      <w:r>
        <w:t>MTM bör också förhålla sig till regeringens bedömning i proposition 2022/23:42 om att tillgänglighetsdirektivet inte påverkar tillämpningen av bestämmelserna som genomför Marrakeshfördraget.</w:t>
      </w:r>
    </w:p>
    <w:p w14:paraId="43126F5D" w14:textId="77777777" w:rsidR="00147FD6" w:rsidRDefault="00147FD6" w:rsidP="00147FD6"/>
    <w:p w14:paraId="73103AAE" w14:textId="77777777" w:rsidR="004700D9" w:rsidRDefault="00147FD6" w:rsidP="00147FD6">
      <w:r w:rsidRPr="00D27C84">
        <w:rPr>
          <w:b/>
          <w:bCs/>
        </w:rPr>
        <w:t xml:space="preserve">Synskadades Riksförbund (SRF) anser att MTM sviker synskadade låntagare. </w:t>
      </w:r>
      <w:r>
        <w:t>Vi hänvisas till hypotetiska och i de flesta fall obeprövade lösningar som innebär att vi i hög grad stängs ute från samhället. Litteratur har historiskt varit en av de mest tillgängliga kulturformerna för synskadade. Den tillgången får inte urholkas genom att det nationella ansvaret förskjuts från MTM till kommersiella aktörer och lokala biblioteksbudgetar. Det är knappast vad lagstiftaren avsåg med tillgänglighetslagen.</w:t>
      </w:r>
    </w:p>
    <w:p w14:paraId="5E81FBBD" w14:textId="77777777" w:rsidR="004700D9" w:rsidRDefault="004700D9" w:rsidP="00147FD6"/>
    <w:p w14:paraId="354726AA" w14:textId="50A82AE2" w:rsidR="00147FD6" w:rsidRDefault="00147FD6" w:rsidP="00147FD6">
      <w:r>
        <w:t>Det är hög tid att Myndigheten för tillgängliga medier (MTM) tar sitt ansvar för de målgrupper som är beroende av anpassad litteratur och står upp för var och ens rätt till läsning på sina villkor!</w:t>
      </w:r>
    </w:p>
    <w:p w14:paraId="05A32679" w14:textId="77777777" w:rsidR="00147FD6" w:rsidRDefault="00147FD6" w:rsidP="00147FD6"/>
    <w:p w14:paraId="5F0793D9" w14:textId="77777777" w:rsidR="00147FD6" w:rsidRDefault="00147FD6" w:rsidP="00147FD6">
      <w:r>
        <w:t>Niklas Mattsson</w:t>
      </w:r>
    </w:p>
    <w:p w14:paraId="530CFDAA" w14:textId="212EDEA4" w:rsidR="00B9642E" w:rsidRDefault="00147FD6" w:rsidP="00147FD6">
      <w:r>
        <w:t>Ordförande</w:t>
      </w:r>
      <w:r w:rsidR="004700D9">
        <w:t xml:space="preserve"> </w:t>
      </w:r>
      <w:r>
        <w:t>Synskadades Riksförbund</w:t>
      </w:r>
    </w:p>
    <w:sectPr w:rsidR="00B9642E" w:rsidSect="001F5561">
      <w:type w:val="continuous"/>
      <w:pgSz w:w="11906" w:h="16838"/>
      <w:pgMar w:top="851" w:right="1418" w:bottom="1418"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AAD7" w14:textId="77777777" w:rsidR="00150BA1" w:rsidRDefault="00150BA1" w:rsidP="00813C78">
      <w:r>
        <w:separator/>
      </w:r>
    </w:p>
  </w:endnote>
  <w:endnote w:type="continuationSeparator" w:id="0">
    <w:p w14:paraId="17AEA5D4" w14:textId="77777777" w:rsidR="00150BA1" w:rsidRDefault="00150BA1" w:rsidP="00813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2747" w14:textId="77777777" w:rsidR="00813C78" w:rsidRDefault="00F27E17" w:rsidP="00F27E17">
    <w:pPr>
      <w:pStyle w:val="Sidfot"/>
      <w:jc w:val="right"/>
    </w:pPr>
    <w:r w:rsidRPr="00F27E17">
      <w:t xml:space="preserve">Sida </w:t>
    </w:r>
    <w:r w:rsidR="00813C78">
      <w:fldChar w:fldCharType="begin"/>
    </w:r>
    <w:r w:rsidR="00813C78">
      <w:instrText>PAGE   \* MERGEFORMAT</w:instrText>
    </w:r>
    <w:r w:rsidR="00813C78">
      <w:fldChar w:fldCharType="separate"/>
    </w:r>
    <w:r w:rsidR="00813C78">
      <w:t>1</w:t>
    </w:r>
    <w:r w:rsidR="00813C78">
      <w:fldChar w:fldCharType="end"/>
    </w:r>
    <w:r>
      <w:t xml:space="preserve"> av</w:t>
    </w:r>
    <w:r w:rsidR="00813C78">
      <w:t xml:space="preserve"> </w:t>
    </w:r>
    <w:fldSimple w:instr=" NUMPAGES  \* Arabic  \* MERGEFORMAT ">
      <w:r w:rsidR="00813C78">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643B4" w14:textId="77777777" w:rsidR="003845EA" w:rsidRPr="005A788E" w:rsidRDefault="003845EA" w:rsidP="003845EA">
    <w:pPr>
      <w:pStyle w:val="Sidfot"/>
      <w:spacing w:before="200" w:after="200"/>
    </w:pPr>
    <w:r w:rsidRPr="005A788E">
      <w:t>Synskadades Riksförbund</w:t>
    </w:r>
  </w:p>
  <w:p w14:paraId="3C800BCF" w14:textId="77777777" w:rsidR="003845EA" w:rsidRPr="005A788E" w:rsidRDefault="003845EA" w:rsidP="003845EA">
    <w:pPr>
      <w:pStyle w:val="Sidfot"/>
      <w:tabs>
        <w:tab w:val="clear" w:pos="2977"/>
        <w:tab w:val="left" w:pos="3969"/>
      </w:tabs>
      <w:rPr>
        <w:b w:val="0"/>
        <w:bCs/>
      </w:rPr>
    </w:pPr>
    <w:r w:rsidRPr="005A788E">
      <w:rPr>
        <w:b w:val="0"/>
        <w:bCs/>
      </w:rPr>
      <w:t>Sandsborgsvägen 52</w:t>
    </w:r>
    <w:r w:rsidRPr="005A788E">
      <w:rPr>
        <w:b w:val="0"/>
        <w:bCs/>
      </w:rPr>
      <w:tab/>
      <w:t>08-39 90 00</w:t>
    </w:r>
    <w:r w:rsidRPr="005A788E">
      <w:rPr>
        <w:b w:val="0"/>
        <w:bCs/>
      </w:rPr>
      <w:tab/>
      <w:t xml:space="preserve">Pg: </w:t>
    </w:r>
    <w:proofErr w:type="gramStart"/>
    <w:r w:rsidRPr="005A788E">
      <w:rPr>
        <w:b w:val="0"/>
        <w:bCs/>
      </w:rPr>
      <w:t>4869-4</w:t>
    </w:r>
    <w:proofErr w:type="gramEnd"/>
  </w:p>
  <w:p w14:paraId="1751DF9D" w14:textId="77777777" w:rsidR="003845EA" w:rsidRPr="005A788E" w:rsidRDefault="003845EA" w:rsidP="003845EA">
    <w:pPr>
      <w:pStyle w:val="Sidfot"/>
      <w:tabs>
        <w:tab w:val="clear" w:pos="2977"/>
        <w:tab w:val="left" w:pos="3969"/>
      </w:tabs>
      <w:rPr>
        <w:b w:val="0"/>
        <w:bCs/>
      </w:rPr>
    </w:pPr>
    <w:r w:rsidRPr="007C18D4">
      <w:rPr>
        <w:b w:val="0"/>
        <w:bCs/>
      </w:rPr>
      <w:t>Box 90277, 120 24 Stockholm</w:t>
    </w:r>
    <w:r w:rsidRPr="005A788E">
      <w:rPr>
        <w:b w:val="0"/>
        <w:bCs/>
      </w:rPr>
      <w:tab/>
    </w:r>
    <w:r w:rsidRPr="007C18D4">
      <w:rPr>
        <w:b w:val="0"/>
        <w:bCs/>
      </w:rPr>
      <w:t>info@srf.nu</w:t>
    </w:r>
    <w:r w:rsidRPr="005A788E">
      <w:rPr>
        <w:b w:val="0"/>
        <w:bCs/>
      </w:rPr>
      <w:tab/>
      <w:t>Bg: 573-31 91</w:t>
    </w:r>
  </w:p>
  <w:p w14:paraId="3AFC5497" w14:textId="77777777" w:rsidR="003845EA" w:rsidRPr="005A788E" w:rsidRDefault="003845EA" w:rsidP="003845EA">
    <w:pPr>
      <w:pStyle w:val="Sidfot"/>
      <w:tabs>
        <w:tab w:val="clear" w:pos="2977"/>
        <w:tab w:val="left" w:pos="3969"/>
      </w:tabs>
      <w:rPr>
        <w:b w:val="0"/>
        <w:bCs/>
      </w:rPr>
    </w:pPr>
    <w:r w:rsidRPr="005A788E">
      <w:rPr>
        <w:b w:val="0"/>
        <w:bCs/>
      </w:rPr>
      <w:t xml:space="preserve">Org.nr: </w:t>
    </w:r>
    <w:proofErr w:type="gramStart"/>
    <w:r w:rsidRPr="005A788E">
      <w:rPr>
        <w:b w:val="0"/>
        <w:bCs/>
      </w:rPr>
      <w:t>802007-3436</w:t>
    </w:r>
    <w:proofErr w:type="gramEnd"/>
    <w:r w:rsidRPr="005A788E">
      <w:rPr>
        <w:b w:val="0"/>
        <w:bCs/>
      </w:rPr>
      <w:tab/>
      <w:t>srf.nu</w:t>
    </w:r>
    <w:r w:rsidRPr="005A788E">
      <w:rPr>
        <w:b w:val="0"/>
        <w:bCs/>
      </w:rPr>
      <w:tab/>
      <w:t>Pg för gåvor: 90 00 90-2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6DDA3" w14:textId="77777777" w:rsidR="00150BA1" w:rsidRDefault="00150BA1" w:rsidP="00813C78">
      <w:r>
        <w:separator/>
      </w:r>
    </w:p>
  </w:footnote>
  <w:footnote w:type="continuationSeparator" w:id="0">
    <w:p w14:paraId="492EC59F" w14:textId="77777777" w:rsidR="00150BA1" w:rsidRDefault="00150BA1" w:rsidP="00813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47A5" w14:textId="77777777" w:rsidR="00813C78" w:rsidRPr="00EC4BE3" w:rsidRDefault="00813C78" w:rsidP="00AA75B3">
    <w:pPr>
      <w:pStyle w:val="Sidhuvud"/>
      <w:spacing w:after="9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65C60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C229F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0E73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0470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CC45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7A46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16B4260A"/>
    <w:multiLevelType w:val="multilevel"/>
    <w:tmpl w:val="BA78FBF6"/>
    <w:lvl w:ilvl="0">
      <w:start w:val="1"/>
      <w:numFmt w:val="bullet"/>
      <w:pStyle w:val="Punktlista"/>
      <w:lvlText w:val="•"/>
      <w:lvlJc w:val="left"/>
      <w:pPr>
        <w:ind w:left="357" w:firstLine="0"/>
      </w:pPr>
      <w:rPr>
        <w:rFonts w:ascii="Calibri" w:hAnsi="Calibri" w:hint="default"/>
        <w:color w:val="auto"/>
      </w:rPr>
    </w:lvl>
    <w:lvl w:ilvl="1">
      <w:start w:val="1"/>
      <w:numFmt w:val="bullet"/>
      <w:pStyle w:val="Punktlista2"/>
      <w:lvlText w:val="•"/>
      <w:lvlJc w:val="left"/>
      <w:pPr>
        <w:ind w:left="714" w:firstLine="0"/>
      </w:pPr>
      <w:rPr>
        <w:rFonts w:ascii="Calibri" w:hAnsi="Calibri" w:hint="default"/>
        <w:color w:val="auto"/>
      </w:rPr>
    </w:lvl>
    <w:lvl w:ilvl="2">
      <w:start w:val="1"/>
      <w:numFmt w:val="bullet"/>
      <w:pStyle w:val="Punktlista3"/>
      <w:lvlText w:val="•"/>
      <w:lvlJc w:val="left"/>
      <w:pPr>
        <w:ind w:left="1071" w:firstLine="0"/>
      </w:pPr>
      <w:rPr>
        <w:rFonts w:ascii="Calibri" w:hAnsi="Calibri" w:hint="default"/>
        <w:color w:val="auto"/>
      </w:rPr>
    </w:lvl>
    <w:lvl w:ilvl="3">
      <w:start w:val="1"/>
      <w:numFmt w:val="bullet"/>
      <w:pStyle w:val="Punktlista4"/>
      <w:lvlText w:val="•"/>
      <w:lvlJc w:val="left"/>
      <w:pPr>
        <w:ind w:left="1428" w:firstLine="0"/>
      </w:pPr>
      <w:rPr>
        <w:rFonts w:ascii="Calibri" w:hAnsi="Calibri" w:hint="default"/>
        <w:color w:val="auto"/>
      </w:rPr>
    </w:lvl>
    <w:lvl w:ilvl="4">
      <w:start w:val="1"/>
      <w:numFmt w:val="bullet"/>
      <w:pStyle w:val="Punktlista5"/>
      <w:lvlText w:val="•"/>
      <w:lvlJc w:val="left"/>
      <w:pPr>
        <w:ind w:left="1785" w:firstLine="0"/>
      </w:pPr>
      <w:rPr>
        <w:rFonts w:ascii="Calibri" w:hAnsi="Calibri" w:hint="default"/>
        <w:color w:val="auto"/>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abstractNum w:abstractNumId="12" w15:restartNumberingAfterBreak="0">
    <w:nsid w:val="5DCC16EE"/>
    <w:multiLevelType w:val="multilevel"/>
    <w:tmpl w:val="1E585FA0"/>
    <w:lvl w:ilvl="0">
      <w:start w:val="1"/>
      <w:numFmt w:val="decimal"/>
      <w:pStyle w:val="Numreradlista"/>
      <w:lvlText w:val="%1."/>
      <w:lvlJc w:val="left"/>
      <w:pPr>
        <w:ind w:left="357" w:firstLine="0"/>
      </w:pPr>
      <w:rPr>
        <w:rFonts w:hint="default"/>
      </w:rPr>
    </w:lvl>
    <w:lvl w:ilvl="1">
      <w:start w:val="1"/>
      <w:numFmt w:val="lowerLetter"/>
      <w:pStyle w:val="Numreradlista2"/>
      <w:lvlText w:val="%2."/>
      <w:lvlJc w:val="left"/>
      <w:pPr>
        <w:ind w:left="714" w:firstLine="0"/>
      </w:pPr>
      <w:rPr>
        <w:rFonts w:hint="default"/>
      </w:rPr>
    </w:lvl>
    <w:lvl w:ilvl="2">
      <w:start w:val="1"/>
      <w:numFmt w:val="lowerRoman"/>
      <w:pStyle w:val="Numreradlista3"/>
      <w:lvlText w:val="%3."/>
      <w:lvlJc w:val="left"/>
      <w:pPr>
        <w:ind w:left="1071" w:firstLine="0"/>
      </w:pPr>
      <w:rPr>
        <w:rFonts w:hint="default"/>
      </w:rPr>
    </w:lvl>
    <w:lvl w:ilvl="3">
      <w:start w:val="1"/>
      <w:numFmt w:val="decimal"/>
      <w:pStyle w:val="Numreradlista4"/>
      <w:lvlText w:val="%4)"/>
      <w:lvlJc w:val="left"/>
      <w:pPr>
        <w:ind w:left="1428" w:firstLine="0"/>
      </w:pPr>
      <w:rPr>
        <w:rFonts w:hint="default"/>
      </w:rPr>
    </w:lvl>
    <w:lvl w:ilvl="4">
      <w:start w:val="1"/>
      <w:numFmt w:val="lowerLetter"/>
      <w:pStyle w:val="Numreradlista5"/>
      <w:lvlText w:val="%5)"/>
      <w:lvlJc w:val="left"/>
      <w:pPr>
        <w:ind w:left="1785" w:firstLine="0"/>
      </w:pPr>
      <w:rPr>
        <w:rFonts w:hint="default"/>
      </w:rPr>
    </w:lvl>
    <w:lvl w:ilvl="5">
      <w:start w:val="1"/>
      <w:numFmt w:val="lowerRoman"/>
      <w:lvlText w:val="(%6)"/>
      <w:lvlJc w:val="left"/>
      <w:pPr>
        <w:ind w:left="2142" w:firstLine="0"/>
      </w:pPr>
      <w:rPr>
        <w:rFonts w:hint="default"/>
      </w:rPr>
    </w:lvl>
    <w:lvl w:ilvl="6">
      <w:start w:val="1"/>
      <w:numFmt w:val="decimal"/>
      <w:lvlText w:val="%7."/>
      <w:lvlJc w:val="left"/>
      <w:pPr>
        <w:ind w:left="2499" w:firstLine="0"/>
      </w:pPr>
      <w:rPr>
        <w:rFonts w:hint="default"/>
      </w:rPr>
    </w:lvl>
    <w:lvl w:ilvl="7">
      <w:start w:val="1"/>
      <w:numFmt w:val="lowerLetter"/>
      <w:lvlText w:val="%8."/>
      <w:lvlJc w:val="left"/>
      <w:pPr>
        <w:ind w:left="2856" w:firstLine="0"/>
      </w:pPr>
      <w:rPr>
        <w:rFonts w:hint="default"/>
      </w:rPr>
    </w:lvl>
    <w:lvl w:ilvl="8">
      <w:start w:val="1"/>
      <w:numFmt w:val="lowerRoman"/>
      <w:lvlText w:val="%9."/>
      <w:lvlJc w:val="left"/>
      <w:pPr>
        <w:ind w:left="3213" w:firstLine="0"/>
      </w:pPr>
      <w:rPr>
        <w:rFonts w:hint="default"/>
      </w:rPr>
    </w:lvl>
  </w:abstractNum>
  <w:abstractNum w:abstractNumId="13" w15:restartNumberingAfterBreak="0">
    <w:nsid w:val="6C5C627F"/>
    <w:multiLevelType w:val="hybridMultilevel"/>
    <w:tmpl w:val="B9DEF5B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2"/>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10"/>
  </w:num>
  <w:num w:numId="13" w16cid:durableId="1364133316">
    <w:abstractNumId w:val="8"/>
  </w:num>
  <w:num w:numId="14" w16cid:durableId="9959566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9357187">
    <w:abstractNumId w:val="12"/>
  </w:num>
  <w:num w:numId="16" w16cid:durableId="354160312">
    <w:abstractNumId w:val="9"/>
  </w:num>
  <w:num w:numId="17" w16cid:durableId="133244127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379"/>
    <w:rsid w:val="00000EDB"/>
    <w:rsid w:val="00004CF7"/>
    <w:rsid w:val="00005105"/>
    <w:rsid w:val="00005C4C"/>
    <w:rsid w:val="00035563"/>
    <w:rsid w:val="0004219B"/>
    <w:rsid w:val="00043C87"/>
    <w:rsid w:val="00057E72"/>
    <w:rsid w:val="00066BBF"/>
    <w:rsid w:val="00080611"/>
    <w:rsid w:val="00092351"/>
    <w:rsid w:val="00093B28"/>
    <w:rsid w:val="000A4A20"/>
    <w:rsid w:val="000B0654"/>
    <w:rsid w:val="000B1D39"/>
    <w:rsid w:val="000B1DB5"/>
    <w:rsid w:val="000B7FCF"/>
    <w:rsid w:val="000C1628"/>
    <w:rsid w:val="000D01A8"/>
    <w:rsid w:val="000D4375"/>
    <w:rsid w:val="000E32ED"/>
    <w:rsid w:val="000F5AB3"/>
    <w:rsid w:val="0010455B"/>
    <w:rsid w:val="00104F57"/>
    <w:rsid w:val="0010577B"/>
    <w:rsid w:val="00115D80"/>
    <w:rsid w:val="00132596"/>
    <w:rsid w:val="00147FD6"/>
    <w:rsid w:val="00150BA1"/>
    <w:rsid w:val="00155D22"/>
    <w:rsid w:val="00156015"/>
    <w:rsid w:val="00164C76"/>
    <w:rsid w:val="00170050"/>
    <w:rsid w:val="00171E97"/>
    <w:rsid w:val="0019084D"/>
    <w:rsid w:val="00193C62"/>
    <w:rsid w:val="001B1E8F"/>
    <w:rsid w:val="001B40E0"/>
    <w:rsid w:val="001D27C3"/>
    <w:rsid w:val="001D54FB"/>
    <w:rsid w:val="001E0DCC"/>
    <w:rsid w:val="001F1063"/>
    <w:rsid w:val="001F5561"/>
    <w:rsid w:val="002016AC"/>
    <w:rsid w:val="002109FC"/>
    <w:rsid w:val="00214146"/>
    <w:rsid w:val="00215DF1"/>
    <w:rsid w:val="002409C4"/>
    <w:rsid w:val="00264F7C"/>
    <w:rsid w:val="00290939"/>
    <w:rsid w:val="00296CE9"/>
    <w:rsid w:val="002A03D4"/>
    <w:rsid w:val="002D3705"/>
    <w:rsid w:val="002F2AE6"/>
    <w:rsid w:val="002F7EA3"/>
    <w:rsid w:val="0030643B"/>
    <w:rsid w:val="003279F0"/>
    <w:rsid w:val="00340ED5"/>
    <w:rsid w:val="00345A7C"/>
    <w:rsid w:val="003571F1"/>
    <w:rsid w:val="00362CE7"/>
    <w:rsid w:val="00374C59"/>
    <w:rsid w:val="003817D2"/>
    <w:rsid w:val="003845EA"/>
    <w:rsid w:val="00392A8C"/>
    <w:rsid w:val="0039506D"/>
    <w:rsid w:val="0039558E"/>
    <w:rsid w:val="003A1A3E"/>
    <w:rsid w:val="003B06DA"/>
    <w:rsid w:val="003B2D80"/>
    <w:rsid w:val="003B3794"/>
    <w:rsid w:val="003C3CA0"/>
    <w:rsid w:val="003C6379"/>
    <w:rsid w:val="003D7C03"/>
    <w:rsid w:val="003E3D2A"/>
    <w:rsid w:val="003E66DA"/>
    <w:rsid w:val="003F1D59"/>
    <w:rsid w:val="00400E60"/>
    <w:rsid w:val="004075A8"/>
    <w:rsid w:val="004100AF"/>
    <w:rsid w:val="00411BEE"/>
    <w:rsid w:val="004216EA"/>
    <w:rsid w:val="00423F0E"/>
    <w:rsid w:val="0042445E"/>
    <w:rsid w:val="004427A1"/>
    <w:rsid w:val="0045790E"/>
    <w:rsid w:val="00465805"/>
    <w:rsid w:val="004700D9"/>
    <w:rsid w:val="0047256F"/>
    <w:rsid w:val="00485D0E"/>
    <w:rsid w:val="004955BF"/>
    <w:rsid w:val="004B0468"/>
    <w:rsid w:val="004B0F2F"/>
    <w:rsid w:val="004C2DA2"/>
    <w:rsid w:val="004D1DC2"/>
    <w:rsid w:val="004D5857"/>
    <w:rsid w:val="004D5D89"/>
    <w:rsid w:val="004F67CF"/>
    <w:rsid w:val="0050505E"/>
    <w:rsid w:val="00512CCF"/>
    <w:rsid w:val="00523C37"/>
    <w:rsid w:val="00530023"/>
    <w:rsid w:val="00532A26"/>
    <w:rsid w:val="00534D61"/>
    <w:rsid w:val="005439FF"/>
    <w:rsid w:val="00544E74"/>
    <w:rsid w:val="00560BC4"/>
    <w:rsid w:val="00565454"/>
    <w:rsid w:val="00565519"/>
    <w:rsid w:val="00571BFC"/>
    <w:rsid w:val="00571F9E"/>
    <w:rsid w:val="00577867"/>
    <w:rsid w:val="00582E95"/>
    <w:rsid w:val="0058339D"/>
    <w:rsid w:val="005851BE"/>
    <w:rsid w:val="00592819"/>
    <w:rsid w:val="00597E3C"/>
    <w:rsid w:val="005A1062"/>
    <w:rsid w:val="005A14DE"/>
    <w:rsid w:val="005A3E70"/>
    <w:rsid w:val="005A788E"/>
    <w:rsid w:val="005B20C0"/>
    <w:rsid w:val="005C1F60"/>
    <w:rsid w:val="005D7B89"/>
    <w:rsid w:val="005F5815"/>
    <w:rsid w:val="00601247"/>
    <w:rsid w:val="006107E1"/>
    <w:rsid w:val="0063002B"/>
    <w:rsid w:val="00651E32"/>
    <w:rsid w:val="00670C0C"/>
    <w:rsid w:val="00671897"/>
    <w:rsid w:val="0068714F"/>
    <w:rsid w:val="006877D9"/>
    <w:rsid w:val="0069113E"/>
    <w:rsid w:val="00695731"/>
    <w:rsid w:val="006A530C"/>
    <w:rsid w:val="006E6047"/>
    <w:rsid w:val="007122ED"/>
    <w:rsid w:val="00721662"/>
    <w:rsid w:val="00725F0B"/>
    <w:rsid w:val="00737841"/>
    <w:rsid w:val="00752C45"/>
    <w:rsid w:val="00772EB0"/>
    <w:rsid w:val="007D2C21"/>
    <w:rsid w:val="007E527F"/>
    <w:rsid w:val="007F19CC"/>
    <w:rsid w:val="0080294E"/>
    <w:rsid w:val="008123E2"/>
    <w:rsid w:val="00813C78"/>
    <w:rsid w:val="00813D92"/>
    <w:rsid w:val="008351D1"/>
    <w:rsid w:val="00836597"/>
    <w:rsid w:val="008409B1"/>
    <w:rsid w:val="00850F80"/>
    <w:rsid w:val="00854824"/>
    <w:rsid w:val="00860892"/>
    <w:rsid w:val="00862167"/>
    <w:rsid w:val="008633DF"/>
    <w:rsid w:val="00864044"/>
    <w:rsid w:val="00881031"/>
    <w:rsid w:val="00894710"/>
    <w:rsid w:val="00897767"/>
    <w:rsid w:val="008A214B"/>
    <w:rsid w:val="008A5A7C"/>
    <w:rsid w:val="008B2C18"/>
    <w:rsid w:val="008C4E7A"/>
    <w:rsid w:val="008C6E75"/>
    <w:rsid w:val="008C6F7C"/>
    <w:rsid w:val="008D6BA2"/>
    <w:rsid w:val="008E01F2"/>
    <w:rsid w:val="008E09F4"/>
    <w:rsid w:val="008F1CF0"/>
    <w:rsid w:val="008F20E5"/>
    <w:rsid w:val="008F5CB9"/>
    <w:rsid w:val="00902B0F"/>
    <w:rsid w:val="00905F2B"/>
    <w:rsid w:val="00907973"/>
    <w:rsid w:val="00920B64"/>
    <w:rsid w:val="00934F42"/>
    <w:rsid w:val="009551BF"/>
    <w:rsid w:val="00965CD2"/>
    <w:rsid w:val="00967452"/>
    <w:rsid w:val="00984F84"/>
    <w:rsid w:val="009C460A"/>
    <w:rsid w:val="009D01C9"/>
    <w:rsid w:val="00A06756"/>
    <w:rsid w:val="00A26F25"/>
    <w:rsid w:val="00A3099B"/>
    <w:rsid w:val="00A31A4D"/>
    <w:rsid w:val="00A32CA2"/>
    <w:rsid w:val="00A33CE7"/>
    <w:rsid w:val="00A37728"/>
    <w:rsid w:val="00A41C1F"/>
    <w:rsid w:val="00A51F48"/>
    <w:rsid w:val="00A71B7C"/>
    <w:rsid w:val="00A81C30"/>
    <w:rsid w:val="00A9428A"/>
    <w:rsid w:val="00AA75B3"/>
    <w:rsid w:val="00AB4016"/>
    <w:rsid w:val="00AB49BF"/>
    <w:rsid w:val="00AB4CF8"/>
    <w:rsid w:val="00AB6942"/>
    <w:rsid w:val="00AD15C7"/>
    <w:rsid w:val="00AD1F15"/>
    <w:rsid w:val="00AF71EA"/>
    <w:rsid w:val="00B16338"/>
    <w:rsid w:val="00B32651"/>
    <w:rsid w:val="00B56BBC"/>
    <w:rsid w:val="00B56CA1"/>
    <w:rsid w:val="00B723E3"/>
    <w:rsid w:val="00B87F7E"/>
    <w:rsid w:val="00B914BF"/>
    <w:rsid w:val="00B917FA"/>
    <w:rsid w:val="00B9642E"/>
    <w:rsid w:val="00BD323A"/>
    <w:rsid w:val="00BE4EAF"/>
    <w:rsid w:val="00BF1E12"/>
    <w:rsid w:val="00C14793"/>
    <w:rsid w:val="00C322AD"/>
    <w:rsid w:val="00C37890"/>
    <w:rsid w:val="00C4305A"/>
    <w:rsid w:val="00C709AA"/>
    <w:rsid w:val="00C73623"/>
    <w:rsid w:val="00C9413B"/>
    <w:rsid w:val="00CB1DF5"/>
    <w:rsid w:val="00CC25DE"/>
    <w:rsid w:val="00CE0798"/>
    <w:rsid w:val="00CE32A2"/>
    <w:rsid w:val="00D27C84"/>
    <w:rsid w:val="00D30590"/>
    <w:rsid w:val="00D3299A"/>
    <w:rsid w:val="00D429A7"/>
    <w:rsid w:val="00D671C1"/>
    <w:rsid w:val="00D77C15"/>
    <w:rsid w:val="00D90537"/>
    <w:rsid w:val="00D95B6F"/>
    <w:rsid w:val="00DB0CD9"/>
    <w:rsid w:val="00DB1CF1"/>
    <w:rsid w:val="00DB473C"/>
    <w:rsid w:val="00DB5618"/>
    <w:rsid w:val="00DB5FE8"/>
    <w:rsid w:val="00DC0099"/>
    <w:rsid w:val="00DC03C5"/>
    <w:rsid w:val="00DF06DA"/>
    <w:rsid w:val="00DF7EC2"/>
    <w:rsid w:val="00E0454E"/>
    <w:rsid w:val="00E072EE"/>
    <w:rsid w:val="00E122D2"/>
    <w:rsid w:val="00E35846"/>
    <w:rsid w:val="00E61AE1"/>
    <w:rsid w:val="00E8286A"/>
    <w:rsid w:val="00E84ACF"/>
    <w:rsid w:val="00E87493"/>
    <w:rsid w:val="00EB1D14"/>
    <w:rsid w:val="00EB4A18"/>
    <w:rsid w:val="00EC4AAA"/>
    <w:rsid w:val="00EC4BE3"/>
    <w:rsid w:val="00ED239B"/>
    <w:rsid w:val="00ED32B8"/>
    <w:rsid w:val="00EF38C9"/>
    <w:rsid w:val="00F20A23"/>
    <w:rsid w:val="00F2467B"/>
    <w:rsid w:val="00F24E39"/>
    <w:rsid w:val="00F27E17"/>
    <w:rsid w:val="00F35BDC"/>
    <w:rsid w:val="00F43B96"/>
    <w:rsid w:val="00F5005A"/>
    <w:rsid w:val="00F52883"/>
    <w:rsid w:val="00F55FCE"/>
    <w:rsid w:val="00F60C2D"/>
    <w:rsid w:val="00F73CED"/>
    <w:rsid w:val="00F82B78"/>
    <w:rsid w:val="00F93FC3"/>
    <w:rsid w:val="00FA013F"/>
    <w:rsid w:val="00FA2A7E"/>
    <w:rsid w:val="00FA5278"/>
    <w:rsid w:val="00FA68D7"/>
    <w:rsid w:val="00FA7353"/>
    <w:rsid w:val="00FB2A67"/>
    <w:rsid w:val="00FC7CB1"/>
    <w:rsid w:val="00FF0A3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863B4"/>
  <w15:chartTrackingRefBased/>
  <w15:docId w15:val="{9E944C93-4F0E-4DE6-9622-33406B5CB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sv-SE" w:eastAsia="en-US"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F42"/>
  </w:style>
  <w:style w:type="paragraph" w:styleId="Rubrik1">
    <w:name w:val="heading 1"/>
    <w:basedOn w:val="Normal"/>
    <w:next w:val="Normal"/>
    <w:link w:val="Rubrik1Char"/>
    <w:uiPriority w:val="9"/>
    <w:qFormat/>
    <w:rsid w:val="00934F42"/>
    <w:pPr>
      <w:keepNext/>
      <w:keepLines/>
      <w:spacing w:line="240" w:lineRule="auto"/>
      <w:outlineLvl w:val="0"/>
    </w:pPr>
    <w:rPr>
      <w:rFonts w:asciiTheme="majorHAnsi" w:eastAsiaTheme="majorEastAsia" w:hAnsiTheme="majorHAnsi" w:cstheme="majorBidi"/>
      <w:b/>
      <w:kern w:val="2"/>
      <w:sz w:val="52"/>
      <w:szCs w:val="32"/>
    </w:rPr>
  </w:style>
  <w:style w:type="paragraph" w:styleId="Rubrik2">
    <w:name w:val="heading 2"/>
    <w:basedOn w:val="Rubrik1"/>
    <w:next w:val="Normal"/>
    <w:link w:val="Rubrik2Char"/>
    <w:uiPriority w:val="9"/>
    <w:qFormat/>
    <w:rsid w:val="0050505E"/>
    <w:pPr>
      <w:outlineLvl w:val="1"/>
    </w:pPr>
    <w:rPr>
      <w:bCs/>
      <w:sz w:val="44"/>
      <w:szCs w:val="26"/>
    </w:rPr>
  </w:style>
  <w:style w:type="paragraph" w:styleId="Rubrik3">
    <w:name w:val="heading 3"/>
    <w:basedOn w:val="Rubrik2"/>
    <w:next w:val="Normal"/>
    <w:link w:val="Rubrik3Char"/>
    <w:uiPriority w:val="9"/>
    <w:qFormat/>
    <w:rsid w:val="00465805"/>
    <w:pPr>
      <w:outlineLvl w:val="2"/>
    </w:pPr>
    <w:rPr>
      <w:sz w:val="36"/>
      <w:szCs w:val="24"/>
    </w:rPr>
  </w:style>
  <w:style w:type="paragraph" w:styleId="Rubrik4">
    <w:name w:val="heading 4"/>
    <w:basedOn w:val="Rubrik3"/>
    <w:next w:val="Normal"/>
    <w:link w:val="Rubrik4Char"/>
    <w:uiPriority w:val="9"/>
    <w:qFormat/>
    <w:rsid w:val="0050505E"/>
    <w:pPr>
      <w:outlineLvl w:val="3"/>
    </w:pPr>
    <w:rPr>
      <w:rFonts w:cstheme="minorHAnsi"/>
      <w:b w:val="0"/>
      <w:bCs w:val="0"/>
      <w:iCs/>
      <w:color w:val="000000" w:themeColor="text1"/>
      <w:sz w:val="32"/>
      <w:szCs w:val="28"/>
    </w:rPr>
  </w:style>
  <w:style w:type="paragraph" w:styleId="Rubrik5">
    <w:name w:val="heading 5"/>
    <w:basedOn w:val="Rubrik4"/>
    <w:next w:val="Normal"/>
    <w:link w:val="Rubrik5Char"/>
    <w:uiPriority w:val="9"/>
    <w:semiHidden/>
    <w:rsid w:val="00B16338"/>
    <w:pPr>
      <w:outlineLvl w:val="4"/>
    </w:pPr>
    <w:rPr>
      <w:sz w:val="22"/>
    </w:rPr>
  </w:style>
  <w:style w:type="paragraph" w:styleId="Rubrik6">
    <w:name w:val="heading 6"/>
    <w:basedOn w:val="Rubrik5"/>
    <w:next w:val="Normal"/>
    <w:link w:val="Rubrik6Char"/>
    <w:uiPriority w:val="9"/>
    <w:semiHidden/>
    <w:rsid w:val="00B16338"/>
    <w:pPr>
      <w:outlineLvl w:val="5"/>
    </w:pPr>
  </w:style>
  <w:style w:type="paragraph" w:styleId="Rubrik7">
    <w:name w:val="heading 7"/>
    <w:basedOn w:val="Rubrik6"/>
    <w:next w:val="Normal"/>
    <w:link w:val="Rubrik7Char"/>
    <w:uiPriority w:val="9"/>
    <w:semiHidden/>
    <w:rsid w:val="003B06DA"/>
    <w:pPr>
      <w:outlineLvl w:val="6"/>
    </w:pPr>
    <w:rPr>
      <w:i/>
      <w:iCs w:val="0"/>
    </w:rPr>
  </w:style>
  <w:style w:type="paragraph" w:styleId="Rubrik8">
    <w:name w:val="heading 8"/>
    <w:basedOn w:val="Rubrik7"/>
    <w:next w:val="Normal"/>
    <w:link w:val="Rubrik8Char"/>
    <w:uiPriority w:val="9"/>
    <w:semiHidden/>
    <w:rsid w:val="005B20C0"/>
    <w:pPr>
      <w:outlineLvl w:val="7"/>
    </w:pPr>
    <w:rPr>
      <w:i w:val="0"/>
      <w:szCs w:val="21"/>
    </w:rPr>
  </w:style>
  <w:style w:type="paragraph" w:styleId="Rubrik9">
    <w:name w:val="heading 9"/>
    <w:basedOn w:val="Rubrik8"/>
    <w:next w:val="Normal"/>
    <w:link w:val="Rubrik9Char"/>
    <w:uiPriority w:val="9"/>
    <w:semiHidden/>
    <w:rsid w:val="003B06DA"/>
    <w:p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semiHidden/>
    <w:rsid w:val="00AB4016"/>
    <w:pPr>
      <w:numPr>
        <w:ilvl w:val="1"/>
      </w:numPr>
      <w:spacing w:line="560" w:lineRule="atLeast"/>
    </w:pPr>
    <w:rPr>
      <w:rFonts w:asciiTheme="majorHAnsi" w:eastAsiaTheme="minorEastAsia" w:hAnsiTheme="majorHAnsi"/>
      <w:sz w:val="56"/>
    </w:rPr>
  </w:style>
  <w:style w:type="character" w:customStyle="1" w:styleId="UnderrubrikChar">
    <w:name w:val="Underrubrik Char"/>
    <w:basedOn w:val="Standardstycketeckensnitt"/>
    <w:link w:val="Underrubrik"/>
    <w:uiPriority w:val="11"/>
    <w:semiHidden/>
    <w:rsid w:val="00AB4016"/>
    <w:rPr>
      <w:rFonts w:asciiTheme="majorHAnsi" w:eastAsiaTheme="minorEastAsia" w:hAnsiTheme="majorHAnsi"/>
      <w:sz w:val="56"/>
    </w:rPr>
  </w:style>
  <w:style w:type="character" w:customStyle="1" w:styleId="Rubrik9Char">
    <w:name w:val="Rubrik 9 Char"/>
    <w:basedOn w:val="Standardstycketeckensnitt"/>
    <w:link w:val="Rubrik9"/>
    <w:uiPriority w:val="9"/>
    <w:semiHidden/>
    <w:rsid w:val="00296CE9"/>
    <w:rPr>
      <w:rFonts w:asciiTheme="majorHAnsi" w:eastAsiaTheme="majorEastAsia" w:hAnsiTheme="majorHAnsi" w:cstheme="majorBidi"/>
      <w:b/>
      <w:iCs/>
      <w:sz w:val="20"/>
      <w:szCs w:val="21"/>
    </w:rPr>
  </w:style>
  <w:style w:type="character" w:customStyle="1" w:styleId="Rubrik8Char">
    <w:name w:val="Rubrik 8 Char"/>
    <w:basedOn w:val="Standardstycketeckensnitt"/>
    <w:link w:val="Rubrik8"/>
    <w:uiPriority w:val="9"/>
    <w:semiHidden/>
    <w:rsid w:val="00296CE9"/>
    <w:rPr>
      <w:rFonts w:asciiTheme="majorHAnsi" w:eastAsiaTheme="majorEastAsia" w:hAnsiTheme="majorHAnsi" w:cstheme="majorBidi"/>
      <w:b/>
      <w:i/>
      <w:sz w:val="22"/>
      <w:szCs w:val="21"/>
    </w:rPr>
  </w:style>
  <w:style w:type="character" w:customStyle="1" w:styleId="Rubrik7Char">
    <w:name w:val="Rubrik 7 Char"/>
    <w:basedOn w:val="Standardstycketeckensnitt"/>
    <w:link w:val="Rubrik7"/>
    <w:uiPriority w:val="9"/>
    <w:semiHidden/>
    <w:rsid w:val="00296CE9"/>
    <w:rPr>
      <w:rFonts w:asciiTheme="majorHAnsi" w:eastAsiaTheme="majorEastAsia" w:hAnsiTheme="majorHAnsi" w:cstheme="majorBidi"/>
      <w:b/>
      <w:sz w:val="22"/>
    </w:rPr>
  </w:style>
  <w:style w:type="character" w:customStyle="1" w:styleId="Rubrik6Char">
    <w:name w:val="Rubrik 6 Char"/>
    <w:basedOn w:val="Standardstycketeckensnitt"/>
    <w:link w:val="Rubrik6"/>
    <w:uiPriority w:val="9"/>
    <w:semiHidden/>
    <w:rsid w:val="008A5A7C"/>
    <w:rPr>
      <w:rFonts w:eastAsiaTheme="majorEastAsia" w:cstheme="minorHAnsi"/>
      <w:b/>
      <w:iCs/>
      <w:color w:val="3C4981" w:themeColor="accent1"/>
      <w:kern w:val="2"/>
      <w:sz w:val="22"/>
    </w:rPr>
  </w:style>
  <w:style w:type="character" w:customStyle="1" w:styleId="Rubrik5Char">
    <w:name w:val="Rubrik 5 Char"/>
    <w:basedOn w:val="Standardstycketeckensnitt"/>
    <w:link w:val="Rubrik5"/>
    <w:uiPriority w:val="9"/>
    <w:semiHidden/>
    <w:rsid w:val="008A5A7C"/>
    <w:rPr>
      <w:rFonts w:eastAsiaTheme="majorEastAsia" w:cstheme="minorHAnsi"/>
      <w:b/>
      <w:iCs/>
      <w:color w:val="3C4981" w:themeColor="accent1"/>
      <w:kern w:val="2"/>
      <w:sz w:val="22"/>
    </w:rPr>
  </w:style>
  <w:style w:type="character" w:customStyle="1" w:styleId="Rubrik4Char">
    <w:name w:val="Rubrik 4 Char"/>
    <w:basedOn w:val="Standardstycketeckensnitt"/>
    <w:link w:val="Rubrik4"/>
    <w:uiPriority w:val="9"/>
    <w:rsid w:val="0050505E"/>
    <w:rPr>
      <w:rFonts w:asciiTheme="majorHAnsi" w:eastAsiaTheme="majorEastAsia" w:hAnsiTheme="majorHAnsi" w:cstheme="minorHAnsi"/>
      <w:iCs/>
      <w:color w:val="000000" w:themeColor="text1"/>
      <w:kern w:val="2"/>
      <w:sz w:val="32"/>
    </w:rPr>
  </w:style>
  <w:style w:type="character" w:customStyle="1" w:styleId="Rubrik3Char">
    <w:name w:val="Rubrik 3 Char"/>
    <w:basedOn w:val="Standardstycketeckensnitt"/>
    <w:link w:val="Rubrik3"/>
    <w:uiPriority w:val="9"/>
    <w:rsid w:val="00465805"/>
    <w:rPr>
      <w:rFonts w:asciiTheme="majorHAnsi" w:eastAsiaTheme="majorEastAsia" w:hAnsiTheme="majorHAnsi" w:cstheme="majorBidi"/>
      <w:bCs/>
      <w:kern w:val="2"/>
      <w:sz w:val="36"/>
      <w:szCs w:val="24"/>
    </w:rPr>
  </w:style>
  <w:style w:type="character" w:customStyle="1" w:styleId="Rubrik2Char">
    <w:name w:val="Rubrik 2 Char"/>
    <w:basedOn w:val="Standardstycketeckensnitt"/>
    <w:link w:val="Rubrik2"/>
    <w:uiPriority w:val="9"/>
    <w:rsid w:val="0050505E"/>
    <w:rPr>
      <w:rFonts w:asciiTheme="majorHAnsi" w:eastAsiaTheme="majorEastAsia" w:hAnsiTheme="majorHAnsi" w:cstheme="majorBidi"/>
      <w:b/>
      <w:bCs/>
      <w:kern w:val="2"/>
      <w:sz w:val="44"/>
      <w:szCs w:val="26"/>
    </w:rPr>
  </w:style>
  <w:style w:type="character" w:customStyle="1" w:styleId="Rubrik1Char">
    <w:name w:val="Rubrik 1 Char"/>
    <w:basedOn w:val="Standardstycketeckensnitt"/>
    <w:link w:val="Rubrik1"/>
    <w:uiPriority w:val="9"/>
    <w:rsid w:val="00934F42"/>
    <w:rPr>
      <w:rFonts w:asciiTheme="majorHAnsi" w:eastAsiaTheme="majorEastAsia" w:hAnsiTheme="majorHAnsi" w:cstheme="majorBidi"/>
      <w:b/>
      <w:kern w:val="2"/>
      <w:sz w:val="52"/>
      <w:szCs w:val="32"/>
    </w:rPr>
  </w:style>
  <w:style w:type="paragraph" w:styleId="Innehllsfrteckningsrubrik">
    <w:name w:val="TOC Heading"/>
    <w:basedOn w:val="Rubrik1"/>
    <w:next w:val="Normal"/>
    <w:uiPriority w:val="39"/>
    <w:semiHidden/>
    <w:rsid w:val="00F73CED"/>
  </w:style>
  <w:style w:type="paragraph" w:styleId="Rubrik">
    <w:name w:val="Title"/>
    <w:basedOn w:val="Normal"/>
    <w:next w:val="Normal"/>
    <w:link w:val="RubrikChar"/>
    <w:uiPriority w:val="10"/>
    <w:semiHidden/>
    <w:rsid w:val="00AB4016"/>
    <w:pPr>
      <w:contextualSpacing/>
      <w:outlineLvl w:val="0"/>
    </w:pPr>
    <w:rPr>
      <w:rFonts w:asciiTheme="majorHAnsi" w:eastAsiaTheme="majorEastAsia" w:hAnsiTheme="majorHAnsi" w:cstheme="majorBidi"/>
      <w:b/>
      <w:sz w:val="100"/>
      <w:szCs w:val="56"/>
    </w:rPr>
  </w:style>
  <w:style w:type="character" w:customStyle="1" w:styleId="RubrikChar">
    <w:name w:val="Rubrik Char"/>
    <w:basedOn w:val="Standardstycketeckensnitt"/>
    <w:link w:val="Rubrik"/>
    <w:uiPriority w:val="10"/>
    <w:semiHidden/>
    <w:rsid w:val="00AB4016"/>
    <w:rPr>
      <w:rFonts w:asciiTheme="majorHAnsi" w:eastAsiaTheme="majorEastAsia" w:hAnsiTheme="majorHAnsi" w:cstheme="majorBidi"/>
      <w:b/>
      <w:sz w:val="100"/>
      <w:szCs w:val="56"/>
    </w:rPr>
  </w:style>
  <w:style w:type="paragraph" w:styleId="Inledning">
    <w:name w:val="Salutation"/>
    <w:basedOn w:val="Normal"/>
    <w:next w:val="Normal"/>
    <w:link w:val="InledningChar"/>
    <w:uiPriority w:val="99"/>
    <w:semiHidden/>
    <w:rsid w:val="005C1F60"/>
  </w:style>
  <w:style w:type="character" w:customStyle="1" w:styleId="InledningChar">
    <w:name w:val="Inledning Char"/>
    <w:basedOn w:val="Standardstycketeckensnitt"/>
    <w:link w:val="Inledning"/>
    <w:uiPriority w:val="99"/>
    <w:semiHidden/>
    <w:rsid w:val="00DB5618"/>
    <w:rPr>
      <w:sz w:val="24"/>
    </w:rPr>
  </w:style>
  <w:style w:type="paragraph" w:styleId="Punktlista">
    <w:name w:val="List Bullet"/>
    <w:basedOn w:val="Normal"/>
    <w:uiPriority w:val="99"/>
    <w:qFormat/>
    <w:rsid w:val="004F67CF"/>
    <w:pPr>
      <w:numPr>
        <w:numId w:val="1"/>
      </w:numPr>
      <w:spacing w:before="240" w:after="240"/>
      <w:ind w:left="714" w:hanging="357"/>
    </w:pPr>
  </w:style>
  <w:style w:type="paragraph" w:styleId="Punktlista2">
    <w:name w:val="List Bullet 2"/>
    <w:basedOn w:val="Normal"/>
    <w:uiPriority w:val="99"/>
    <w:rsid w:val="004F67CF"/>
    <w:pPr>
      <w:numPr>
        <w:ilvl w:val="1"/>
        <w:numId w:val="1"/>
      </w:numPr>
      <w:spacing w:before="240" w:after="240"/>
      <w:ind w:left="1071" w:hanging="357"/>
    </w:pPr>
  </w:style>
  <w:style w:type="paragraph" w:styleId="Punktlista3">
    <w:name w:val="List Bullet 3"/>
    <w:basedOn w:val="Normal"/>
    <w:uiPriority w:val="99"/>
    <w:rsid w:val="004F67CF"/>
    <w:pPr>
      <w:numPr>
        <w:ilvl w:val="2"/>
        <w:numId w:val="1"/>
      </w:numPr>
      <w:spacing w:before="240" w:after="240"/>
      <w:ind w:left="1429" w:hanging="357"/>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Normal"/>
    <w:uiPriority w:val="99"/>
    <w:qFormat/>
    <w:rsid w:val="004F67CF"/>
    <w:pPr>
      <w:numPr>
        <w:numId w:val="15"/>
      </w:numPr>
      <w:spacing w:before="240" w:after="240"/>
      <w:ind w:left="714" w:hanging="357"/>
    </w:pPr>
  </w:style>
  <w:style w:type="paragraph" w:styleId="Numreradlista2">
    <w:name w:val="List Number 2"/>
    <w:basedOn w:val="Normal"/>
    <w:uiPriority w:val="99"/>
    <w:rsid w:val="004F67CF"/>
    <w:pPr>
      <w:numPr>
        <w:ilvl w:val="1"/>
        <w:numId w:val="15"/>
      </w:numPr>
      <w:spacing w:before="240" w:after="240"/>
      <w:ind w:left="1071" w:hanging="357"/>
    </w:pPr>
  </w:style>
  <w:style w:type="paragraph" w:styleId="Numreradlista3">
    <w:name w:val="List Number 3"/>
    <w:basedOn w:val="Normal"/>
    <w:uiPriority w:val="99"/>
    <w:rsid w:val="004F67CF"/>
    <w:pPr>
      <w:numPr>
        <w:ilvl w:val="2"/>
        <w:numId w:val="15"/>
      </w:numPr>
      <w:spacing w:before="240" w:after="240"/>
      <w:ind w:left="1429" w:hanging="357"/>
    </w:pPr>
  </w:style>
  <w:style w:type="paragraph" w:styleId="Numreradlista4">
    <w:name w:val="List Number 4"/>
    <w:basedOn w:val="Normal"/>
    <w:uiPriority w:val="99"/>
    <w:semiHidden/>
    <w:rsid w:val="00651E32"/>
    <w:pPr>
      <w:numPr>
        <w:ilvl w:val="3"/>
        <w:numId w:val="15"/>
      </w:numPr>
      <w:contextualSpacing/>
    </w:pPr>
  </w:style>
  <w:style w:type="paragraph" w:styleId="Numreradlista5">
    <w:name w:val="List Number 5"/>
    <w:basedOn w:val="Normal"/>
    <w:uiPriority w:val="99"/>
    <w:semiHidden/>
    <w:rsid w:val="00651E32"/>
    <w:pPr>
      <w:numPr>
        <w:ilvl w:val="4"/>
        <w:numId w:val="15"/>
      </w:numPr>
      <w:contextualSpacing/>
    </w:pPr>
  </w:style>
  <w:style w:type="paragraph" w:styleId="Innehll1">
    <w:name w:val="toc 1"/>
    <w:basedOn w:val="Normal"/>
    <w:next w:val="Normal"/>
    <w:autoRedefine/>
    <w:uiPriority w:val="39"/>
    <w:semiHidden/>
    <w:rsid w:val="00AB4016"/>
    <w:pPr>
      <w:tabs>
        <w:tab w:val="right" w:leader="dot" w:pos="9062"/>
      </w:tabs>
      <w:spacing w:before="120"/>
    </w:pPr>
    <w:rPr>
      <w:rFonts w:asciiTheme="majorHAnsi" w:hAnsiTheme="majorHAnsi"/>
      <w:b/>
      <w:sz w:val="36"/>
    </w:rPr>
  </w:style>
  <w:style w:type="paragraph" w:styleId="Innehll2">
    <w:name w:val="toc 2"/>
    <w:basedOn w:val="Normal"/>
    <w:next w:val="Normal"/>
    <w:autoRedefine/>
    <w:uiPriority w:val="39"/>
    <w:semiHidden/>
    <w:rsid w:val="00AB4016"/>
    <w:pPr>
      <w:spacing w:before="40"/>
      <w:ind w:left="284"/>
    </w:pPr>
    <w:rPr>
      <w:rFonts w:asciiTheme="majorHAnsi" w:hAnsiTheme="majorHAnsi"/>
      <w:b/>
    </w:rPr>
  </w:style>
  <w:style w:type="paragraph" w:styleId="Innehll3">
    <w:name w:val="toc 3"/>
    <w:basedOn w:val="Normal"/>
    <w:next w:val="Normal"/>
    <w:autoRedefine/>
    <w:uiPriority w:val="39"/>
    <w:semiHidden/>
    <w:rsid w:val="00AB4016"/>
    <w:pPr>
      <w:ind w:left="567"/>
    </w:pPr>
    <w:rPr>
      <w:rFonts w:asciiTheme="majorHAnsi" w:hAnsiTheme="majorHAnsi"/>
    </w:rPr>
  </w:style>
  <w:style w:type="character" w:styleId="Hyperlnk">
    <w:name w:val="Hyperlink"/>
    <w:basedOn w:val="Standardstycketeckensnitt"/>
    <w:uiPriority w:val="99"/>
    <w:unhideWhenUsed/>
    <w:rsid w:val="00362CE7"/>
    <w:rPr>
      <w:color w:val="3C4981" w:themeColor="hyperlink"/>
      <w:u w:val="single"/>
    </w:rPr>
  </w:style>
  <w:style w:type="character" w:styleId="Platshllartext">
    <w:name w:val="Placeholder Text"/>
    <w:basedOn w:val="Standardstycketeckensnitt"/>
    <w:uiPriority w:val="99"/>
    <w:rsid w:val="00F43B96"/>
    <w:rPr>
      <w:color w:val="6E6E6E"/>
      <w:bdr w:val="none" w:sz="0" w:space="0" w:color="auto"/>
      <w:shd w:val="clear" w:color="auto" w:fill="F2F2F2"/>
    </w:rPr>
  </w:style>
  <w:style w:type="paragraph" w:styleId="Ingetavstnd">
    <w:name w:val="No Spacing"/>
    <w:uiPriority w:val="1"/>
    <w:semiHidden/>
    <w:qFormat/>
    <w:rsid w:val="00813C78"/>
  </w:style>
  <w:style w:type="paragraph" w:styleId="Sidhuvud">
    <w:name w:val="header"/>
    <w:basedOn w:val="Normal"/>
    <w:link w:val="SidhuvudChar"/>
    <w:uiPriority w:val="99"/>
    <w:semiHidden/>
    <w:rsid w:val="00813C78"/>
    <w:pPr>
      <w:tabs>
        <w:tab w:val="center" w:pos="4536"/>
        <w:tab w:val="right" w:pos="9072"/>
      </w:tabs>
    </w:pPr>
  </w:style>
  <w:style w:type="character" w:customStyle="1" w:styleId="SidhuvudChar">
    <w:name w:val="Sidhuvud Char"/>
    <w:basedOn w:val="Standardstycketeckensnitt"/>
    <w:link w:val="Sidhuvud"/>
    <w:uiPriority w:val="99"/>
    <w:semiHidden/>
    <w:rsid w:val="001B1E8F"/>
  </w:style>
  <w:style w:type="paragraph" w:styleId="Sidfot">
    <w:name w:val="footer"/>
    <w:basedOn w:val="Normal"/>
    <w:link w:val="SidfotChar"/>
    <w:uiPriority w:val="99"/>
    <w:rsid w:val="004075A8"/>
    <w:pPr>
      <w:tabs>
        <w:tab w:val="left" w:pos="2977"/>
        <w:tab w:val="left" w:pos="6804"/>
      </w:tabs>
      <w:spacing w:line="240" w:lineRule="auto"/>
    </w:pPr>
    <w:rPr>
      <w:b/>
      <w:color w:val="000000" w:themeColor="text1"/>
      <w:sz w:val="20"/>
    </w:rPr>
  </w:style>
  <w:style w:type="character" w:customStyle="1" w:styleId="SidfotChar">
    <w:name w:val="Sidfot Char"/>
    <w:basedOn w:val="Standardstycketeckensnitt"/>
    <w:link w:val="Sidfot"/>
    <w:uiPriority w:val="99"/>
    <w:rsid w:val="004075A8"/>
    <w:rPr>
      <w:b/>
      <w:color w:val="000000" w:themeColor="text1"/>
      <w:sz w:val="20"/>
    </w:rPr>
  </w:style>
  <w:style w:type="table" w:styleId="Tabellrutnt">
    <w:name w:val="Table Grid"/>
    <w:basedOn w:val="Normaltabell"/>
    <w:uiPriority w:val="39"/>
    <w:rsid w:val="008F1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
    <w:name w:val="Quote"/>
    <w:basedOn w:val="Normal"/>
    <w:next w:val="Normal"/>
    <w:link w:val="CitatChar"/>
    <w:uiPriority w:val="29"/>
    <w:semiHidden/>
    <w:rsid w:val="00296CE9"/>
    <w:pPr>
      <w:spacing w:before="200"/>
      <w:ind w:left="864" w:right="864"/>
    </w:pPr>
    <w:rPr>
      <w:iCs/>
    </w:rPr>
  </w:style>
  <w:style w:type="character" w:customStyle="1" w:styleId="CitatChar">
    <w:name w:val="Citat Char"/>
    <w:basedOn w:val="Standardstycketeckensnitt"/>
    <w:link w:val="Citat"/>
    <w:uiPriority w:val="29"/>
    <w:semiHidden/>
    <w:rsid w:val="003D7C03"/>
    <w:rPr>
      <w:iCs/>
    </w:rPr>
  </w:style>
  <w:style w:type="paragraph" w:styleId="Avslutandetext">
    <w:name w:val="Closing"/>
    <w:basedOn w:val="Normal"/>
    <w:next w:val="Ingetavstnd"/>
    <w:link w:val="AvslutandetextChar"/>
    <w:uiPriority w:val="99"/>
    <w:semiHidden/>
    <w:rsid w:val="00A51F48"/>
    <w:pPr>
      <w:spacing w:before="720" w:after="720"/>
    </w:pPr>
  </w:style>
  <w:style w:type="character" w:customStyle="1" w:styleId="AvslutandetextChar">
    <w:name w:val="Avslutande text Char"/>
    <w:basedOn w:val="Standardstycketeckensnitt"/>
    <w:link w:val="Avslutandetext"/>
    <w:uiPriority w:val="99"/>
    <w:semiHidden/>
    <w:rsid w:val="003D7C03"/>
  </w:style>
  <w:style w:type="paragraph" w:customStyle="1" w:styleId="Ingress">
    <w:name w:val="Ingress"/>
    <w:basedOn w:val="Normal"/>
    <w:next w:val="Normal"/>
    <w:uiPriority w:val="12"/>
    <w:rsid w:val="003D7C03"/>
    <w:pPr>
      <w:spacing w:after="280"/>
    </w:pPr>
    <w:rPr>
      <w:b/>
    </w:rPr>
  </w:style>
  <w:style w:type="paragraph" w:styleId="Adress-brev">
    <w:name w:val="envelope address"/>
    <w:basedOn w:val="Ingetavstnd"/>
    <w:uiPriority w:val="99"/>
    <w:rsid w:val="00544E74"/>
    <w:pPr>
      <w:ind w:left="5471" w:right="-737"/>
    </w:pPr>
    <w:rPr>
      <w:rFonts w:eastAsiaTheme="majorEastAsia" w:cstheme="majorBidi"/>
    </w:rPr>
  </w:style>
  <w:style w:type="paragraph" w:customStyle="1" w:styleId="Noter">
    <w:name w:val="Noter"/>
    <w:basedOn w:val="Rubrik2"/>
    <w:next w:val="Normal"/>
    <w:uiPriority w:val="13"/>
    <w:semiHidden/>
    <w:qFormat/>
    <w:rsid w:val="000D01A8"/>
    <w:pPr>
      <w:numPr>
        <w:numId w:val="12"/>
      </w:numPr>
      <w:outlineLvl w:val="9"/>
    </w:pPr>
  </w:style>
  <w:style w:type="paragraph" w:styleId="Beskrivning">
    <w:name w:val="caption"/>
    <w:basedOn w:val="Normal"/>
    <w:next w:val="Normal"/>
    <w:uiPriority w:val="35"/>
    <w:rsid w:val="00AB4016"/>
    <w:pPr>
      <w:spacing w:after="200"/>
    </w:pPr>
    <w:rPr>
      <w:iCs/>
      <w:color w:val="000000" w:themeColor="text2"/>
      <w:szCs w:val="18"/>
    </w:rPr>
  </w:style>
  <w:style w:type="table" w:styleId="Rutntstabell4dekorfrg1">
    <w:name w:val="Grid Table 4 Accent 1"/>
    <w:basedOn w:val="Normaltabell"/>
    <w:uiPriority w:val="49"/>
    <w:rsid w:val="00155D22"/>
    <w:tblPr>
      <w:tblStyleRowBandSize w:val="1"/>
      <w:tblStyleColBandSize w:val="1"/>
      <w:tblBorders>
        <w:top w:val="single" w:sz="4" w:space="0" w:color="7B88C1" w:themeColor="accent1" w:themeTint="99"/>
        <w:left w:val="single" w:sz="4" w:space="0" w:color="7B88C1" w:themeColor="accent1" w:themeTint="99"/>
        <w:bottom w:val="single" w:sz="4" w:space="0" w:color="7B88C1" w:themeColor="accent1" w:themeTint="99"/>
        <w:right w:val="single" w:sz="4" w:space="0" w:color="7B88C1" w:themeColor="accent1" w:themeTint="99"/>
        <w:insideH w:val="single" w:sz="4" w:space="0" w:color="7B88C1" w:themeColor="accent1" w:themeTint="99"/>
        <w:insideV w:val="single" w:sz="4" w:space="0" w:color="7B88C1" w:themeColor="accent1" w:themeTint="99"/>
      </w:tblBorders>
    </w:tblPr>
    <w:tblStylePr w:type="firstRow">
      <w:rPr>
        <w:b/>
        <w:bCs/>
        <w:color w:val="FFFFFF" w:themeColor="background1"/>
      </w:rPr>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nil"/>
          <w:insideV w:val="nil"/>
        </w:tcBorders>
        <w:shd w:val="clear" w:color="auto" w:fill="3C4981" w:themeFill="accent1"/>
      </w:tcPr>
    </w:tblStylePr>
    <w:tblStylePr w:type="lastRow">
      <w:rPr>
        <w:b/>
        <w:bCs/>
      </w:rPr>
      <w:tblPr/>
      <w:tcPr>
        <w:tcBorders>
          <w:top w:val="double" w:sz="4" w:space="0" w:color="3C4981" w:themeColor="accent1"/>
        </w:tcBorders>
      </w:tcPr>
    </w:tblStylePr>
    <w:tblStylePr w:type="firstCol">
      <w:rPr>
        <w:b/>
        <w:bCs/>
      </w:rPr>
    </w:tblStylePr>
    <w:tblStylePr w:type="lastCol">
      <w:rPr>
        <w:b/>
        <w:bCs/>
      </w:rPr>
    </w:tblStylePr>
    <w:tblStylePr w:type="band1Vert">
      <w:tblPr/>
      <w:tcPr>
        <w:shd w:val="clear" w:color="auto" w:fill="D3D7EA" w:themeFill="accent1" w:themeFillTint="33"/>
      </w:tcPr>
    </w:tblStylePr>
    <w:tblStylePr w:type="band1Horz">
      <w:tblPr/>
      <w:tcPr>
        <w:shd w:val="clear" w:color="auto" w:fill="D3D7EA" w:themeFill="accent1" w:themeFillTint="33"/>
      </w:tcPr>
    </w:tblStylePr>
  </w:style>
  <w:style w:type="table" w:customStyle="1" w:styleId="SRFTabellBl">
    <w:name w:val="SRF Tabell Blå"/>
    <w:basedOn w:val="Normaltabell"/>
    <w:uiPriority w:val="99"/>
    <w:rsid w:val="000E32ED"/>
    <w:tblPr>
      <w:tblStyleRowBandSize w:val="1"/>
      <w:tblBorders>
        <w:top w:val="single" w:sz="4" w:space="0" w:color="3C4981" w:themeColor="accent1"/>
        <w:left w:val="single" w:sz="4" w:space="0" w:color="3C4981" w:themeColor="accent1"/>
        <w:bottom w:val="single" w:sz="4" w:space="0" w:color="3C4981" w:themeColor="accent1"/>
        <w:right w:val="single" w:sz="4" w:space="0" w:color="3C4981" w:themeColor="accent1"/>
        <w:insideH w:val="single" w:sz="4" w:space="0" w:color="3C4981" w:themeColor="accent1"/>
        <w:insideV w:val="single" w:sz="4" w:space="0" w:color="3C4981" w:themeColor="accent1"/>
      </w:tblBorders>
      <w:tblCellMar>
        <w:top w:w="85" w:type="dxa"/>
        <w:bottom w:w="85" w:type="dxa"/>
      </w:tblCellMar>
    </w:tblPr>
    <w:tblStylePr w:type="firstRow">
      <w:rPr>
        <w:color w:val="FFFFFF" w:themeColor="background1"/>
      </w:rPr>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nil"/>
          <w:insideV w:val="nil"/>
          <w:tl2br w:val="nil"/>
          <w:tr2bl w:val="nil"/>
        </w:tcBorders>
        <w:shd w:val="clear" w:color="auto" w:fill="3C4981" w:themeFill="accent1"/>
        <w:tcMar>
          <w:top w:w="108" w:type="dxa"/>
          <w:left w:w="108" w:type="dxa"/>
          <w:bottom w:w="108" w:type="dxa"/>
          <w:right w:w="108" w:type="dxa"/>
        </w:tcMar>
      </w:tcPr>
    </w:tblStylePr>
    <w:tblStylePr w:type="lastRow">
      <w:tblPr/>
      <w:tcPr>
        <w:tcBorders>
          <w:top w:val="single" w:sz="18" w:space="0" w:color="3C4981" w:themeColor="accent1"/>
          <w:left w:val="single" w:sz="4" w:space="0" w:color="3C4981" w:themeColor="accent1"/>
          <w:bottom w:val="single" w:sz="4" w:space="0" w:color="3C4981" w:themeColor="accent1"/>
          <w:right w:val="single" w:sz="4" w:space="0" w:color="3C4981" w:themeColor="accent1"/>
          <w:insideH w:val="nil"/>
          <w:insideV w:val="single" w:sz="4" w:space="0" w:color="3C4981" w:themeColor="accent1"/>
          <w:tl2br w:val="nil"/>
          <w:tr2bl w:val="nil"/>
        </w:tcBorders>
      </w:tcPr>
    </w:tblStylePr>
    <w:tblStylePr w:type="band1Horz">
      <w:tblPr/>
      <w:tcPr>
        <w:tcBorders>
          <w:top w:val="single" w:sz="4" w:space="0" w:color="3C4981" w:themeColor="accent1"/>
          <w:left w:val="single" w:sz="4" w:space="0" w:color="3C4981" w:themeColor="accent1"/>
          <w:bottom w:val="single" w:sz="4" w:space="0" w:color="3C4981" w:themeColor="accent1"/>
          <w:right w:val="single" w:sz="4" w:space="0" w:color="3C4981" w:themeColor="accent1"/>
          <w:insideH w:val="single" w:sz="4" w:space="0" w:color="3C4981" w:themeColor="accent1"/>
          <w:insideV w:val="single" w:sz="4" w:space="0" w:color="3C4981" w:themeColor="accent1"/>
          <w:tl2br w:val="nil"/>
          <w:tr2bl w:val="nil"/>
        </w:tcBorders>
        <w:shd w:val="clear" w:color="auto" w:fill="D3D7EA" w:themeFill="accent1" w:themeFillTint="33"/>
      </w:tcPr>
    </w:tblStylePr>
  </w:style>
  <w:style w:type="character" w:styleId="Olstomnmnande">
    <w:name w:val="Unresolved Mention"/>
    <w:basedOn w:val="Standardstycketeckensnitt"/>
    <w:uiPriority w:val="99"/>
    <w:semiHidden/>
    <w:unhideWhenUsed/>
    <w:rsid w:val="002F7EA3"/>
    <w:rPr>
      <w:color w:val="605E5C"/>
      <w:shd w:val="clear" w:color="auto" w:fill="E1DFDD"/>
    </w:rPr>
  </w:style>
  <w:style w:type="table" w:customStyle="1" w:styleId="SRFTabellGrn">
    <w:name w:val="SRF Tabell Grön"/>
    <w:basedOn w:val="Normaltabell"/>
    <w:uiPriority w:val="99"/>
    <w:rsid w:val="00F20A23"/>
    <w:tblPr>
      <w:tblStyleRowBandSize w:val="1"/>
      <w:tblBorders>
        <w:top w:val="single" w:sz="4"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blBorders>
      <w:tblCellMar>
        <w:top w:w="85" w:type="dxa"/>
        <w:bottom w:w="85" w:type="dxa"/>
      </w:tblCellMar>
    </w:tblPr>
    <w:tblStylePr w:type="firstRow">
      <w:rPr>
        <w:b w:val="0"/>
        <w:color w:val="FFFFFF" w:themeColor="background1"/>
      </w:rPr>
      <w:tblPr/>
      <w:tcPr>
        <w:tcBorders>
          <w:top w:val="single" w:sz="4" w:space="0" w:color="787522" w:themeColor="accent4"/>
          <w:left w:val="single" w:sz="4" w:space="0" w:color="787522" w:themeColor="accent4"/>
          <w:bottom w:val="single" w:sz="4" w:space="0" w:color="787522" w:themeColor="accent4"/>
          <w:right w:val="single" w:sz="4" w:space="0" w:color="787522" w:themeColor="accent4"/>
          <w:insideH w:val="nil"/>
          <w:insideV w:val="nil"/>
          <w:tl2br w:val="nil"/>
          <w:tr2bl w:val="nil"/>
        </w:tcBorders>
        <w:shd w:val="clear" w:color="auto" w:fill="787522" w:themeFill="accent4"/>
      </w:tcPr>
    </w:tblStylePr>
    <w:tblStylePr w:type="lastRow">
      <w:tblPr/>
      <w:tcPr>
        <w:tcBorders>
          <w:top w:val="single" w:sz="18"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l2br w:val="nil"/>
          <w:tr2bl w:val="nil"/>
        </w:tcBorders>
      </w:tcPr>
    </w:tblStylePr>
    <w:tblStylePr w:type="band1Horz">
      <w:tblPr/>
      <w:tcPr>
        <w:tcBorders>
          <w:top w:val="single" w:sz="4" w:space="0" w:color="787522" w:themeColor="accent4"/>
          <w:left w:val="single" w:sz="4" w:space="0" w:color="787522" w:themeColor="accent4"/>
          <w:bottom w:val="single" w:sz="4" w:space="0" w:color="787522" w:themeColor="accent4"/>
          <w:right w:val="single" w:sz="4" w:space="0" w:color="787522" w:themeColor="accent4"/>
          <w:insideH w:val="single" w:sz="4" w:space="0" w:color="787522" w:themeColor="accent4"/>
          <w:insideV w:val="single" w:sz="4" w:space="0" w:color="787522" w:themeColor="accent4"/>
          <w:tl2br w:val="nil"/>
          <w:tr2bl w:val="nil"/>
        </w:tcBorders>
        <w:shd w:val="clear" w:color="auto" w:fill="EFEDC7" w:themeFill="accent4" w:themeFillTint="33"/>
      </w:tcPr>
    </w:tblStylePr>
  </w:style>
  <w:style w:type="table" w:customStyle="1" w:styleId="SRFTabellGul">
    <w:name w:val="SRF Tabell Gul"/>
    <w:basedOn w:val="Normaltabell"/>
    <w:uiPriority w:val="99"/>
    <w:rsid w:val="00F20A23"/>
    <w:tblPr>
      <w:tblStyleRowBandSize w:val="1"/>
      <w:tblBorders>
        <w:top w:val="single" w:sz="4"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blBorders>
      <w:tblCellMar>
        <w:top w:w="85" w:type="dxa"/>
        <w:bottom w:w="85" w:type="dxa"/>
      </w:tblCellMar>
    </w:tblPr>
    <w:tblStylePr w:type="firstRow">
      <w:tblPr/>
      <w:tcPr>
        <w:tcBorders>
          <w:top w:val="single" w:sz="4" w:space="0" w:color="FAAF3F" w:themeColor="accent3"/>
          <w:left w:val="single" w:sz="4" w:space="0" w:color="FAAF3F" w:themeColor="accent3"/>
          <w:bottom w:val="single" w:sz="4" w:space="0" w:color="FAAF3F" w:themeColor="accent3"/>
          <w:right w:val="single" w:sz="4" w:space="0" w:color="FAAF3F" w:themeColor="accent3"/>
          <w:insideH w:val="nil"/>
          <w:insideV w:val="nil"/>
          <w:tl2br w:val="nil"/>
          <w:tr2bl w:val="nil"/>
        </w:tcBorders>
        <w:shd w:val="clear" w:color="auto" w:fill="FAAF3F" w:themeFill="accent3"/>
      </w:tcPr>
    </w:tblStylePr>
    <w:tblStylePr w:type="lastRow">
      <w:tblPr/>
      <w:tcPr>
        <w:tcBorders>
          <w:top w:val="single" w:sz="18"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l2br w:val="nil"/>
          <w:tr2bl w:val="nil"/>
        </w:tcBorders>
      </w:tcPr>
    </w:tblStylePr>
    <w:tblStylePr w:type="band1Horz">
      <w:tblPr/>
      <w:tcPr>
        <w:tcBorders>
          <w:top w:val="single" w:sz="4" w:space="0" w:color="FAAF3F" w:themeColor="accent3"/>
          <w:left w:val="single" w:sz="4" w:space="0" w:color="FAAF3F" w:themeColor="accent3"/>
          <w:bottom w:val="single" w:sz="4" w:space="0" w:color="FAAF3F" w:themeColor="accent3"/>
          <w:right w:val="single" w:sz="4" w:space="0" w:color="FAAF3F" w:themeColor="accent3"/>
          <w:insideH w:val="single" w:sz="4" w:space="0" w:color="FAAF3F" w:themeColor="accent3"/>
          <w:insideV w:val="single" w:sz="4" w:space="0" w:color="FAAF3F" w:themeColor="accent3"/>
          <w:tl2br w:val="nil"/>
          <w:tr2bl w:val="nil"/>
        </w:tcBorders>
        <w:shd w:val="clear" w:color="auto" w:fill="FEEED8" w:themeFill="accent3" w:themeFillTint="33"/>
      </w:tcPr>
    </w:tblStylePr>
  </w:style>
  <w:style w:type="table" w:customStyle="1" w:styleId="SRFTabellLjusgrn">
    <w:name w:val="SRF Tabell Ljusgrön"/>
    <w:basedOn w:val="Normaltabell"/>
    <w:uiPriority w:val="99"/>
    <w:rsid w:val="00F20A23"/>
    <w:tblPr>
      <w:tblStyleRowBandSize w:val="1"/>
      <w:tblBorders>
        <w:top w:val="single" w:sz="4"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blBorders>
      <w:tblCellMar>
        <w:top w:w="85" w:type="dxa"/>
        <w:bottom w:w="85" w:type="dxa"/>
      </w:tblCellMar>
    </w:tblPr>
    <w:tblStylePr w:type="firstRow">
      <w:tblPr/>
      <w:tcPr>
        <w:tcBorders>
          <w:top w:val="single" w:sz="4" w:space="0" w:color="A39B7E" w:themeColor="accent6"/>
          <w:left w:val="single" w:sz="4" w:space="0" w:color="A39B7E" w:themeColor="accent6"/>
          <w:bottom w:val="single" w:sz="4" w:space="0" w:color="A39B7E" w:themeColor="accent6"/>
          <w:right w:val="single" w:sz="4" w:space="0" w:color="A39B7E" w:themeColor="accent6"/>
          <w:insideH w:val="nil"/>
          <w:insideV w:val="nil"/>
          <w:tl2br w:val="nil"/>
          <w:tr2bl w:val="nil"/>
        </w:tcBorders>
        <w:shd w:val="clear" w:color="auto" w:fill="A39B7E" w:themeFill="accent6"/>
      </w:tcPr>
    </w:tblStylePr>
    <w:tblStylePr w:type="lastRow">
      <w:tblPr/>
      <w:tcPr>
        <w:tcBorders>
          <w:top w:val="single" w:sz="18"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l2br w:val="nil"/>
          <w:tr2bl w:val="nil"/>
        </w:tcBorders>
      </w:tcPr>
    </w:tblStylePr>
    <w:tblStylePr w:type="band1Horz">
      <w:tblPr/>
      <w:tcPr>
        <w:tcBorders>
          <w:top w:val="single" w:sz="4" w:space="0" w:color="A39B7E" w:themeColor="accent6"/>
          <w:left w:val="single" w:sz="4" w:space="0" w:color="A39B7E" w:themeColor="accent6"/>
          <w:bottom w:val="single" w:sz="4" w:space="0" w:color="A39B7E" w:themeColor="accent6"/>
          <w:right w:val="single" w:sz="4" w:space="0" w:color="A39B7E" w:themeColor="accent6"/>
          <w:insideH w:val="single" w:sz="4" w:space="0" w:color="A39B7E" w:themeColor="accent6"/>
          <w:insideV w:val="single" w:sz="4" w:space="0" w:color="A39B7E" w:themeColor="accent6"/>
          <w:tl2br w:val="nil"/>
          <w:tr2bl w:val="nil"/>
        </w:tcBorders>
        <w:shd w:val="clear" w:color="auto" w:fill="ECEAE5" w:themeFill="accent6" w:themeFillTint="33"/>
      </w:tcPr>
    </w:tblStylePr>
  </w:style>
  <w:style w:type="table" w:customStyle="1" w:styleId="SRFTabellRosa">
    <w:name w:val="SRF Tabell Rosa"/>
    <w:basedOn w:val="Normaltabell"/>
    <w:uiPriority w:val="99"/>
    <w:rsid w:val="00F20A23"/>
    <w:tblPr>
      <w:tblStyleRowBandSize w:val="1"/>
      <w:tblBorders>
        <w:top w:val="single" w:sz="4"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blBorders>
      <w:tblCellMar>
        <w:top w:w="85" w:type="dxa"/>
        <w:bottom w:w="85" w:type="dxa"/>
      </w:tblCellMar>
    </w:tblPr>
    <w:tblStylePr w:type="firstRow">
      <w:rPr>
        <w:b/>
        <w:color w:val="FFFFFF" w:themeColor="background1"/>
      </w:rPr>
      <w:tblPr/>
      <w:tcPr>
        <w:tcBorders>
          <w:top w:val="single" w:sz="4" w:space="0" w:color="E95485" w:themeColor="accent2"/>
          <w:left w:val="single" w:sz="4" w:space="0" w:color="E95485" w:themeColor="accent2"/>
          <w:bottom w:val="single" w:sz="4" w:space="0" w:color="E95485" w:themeColor="accent2"/>
          <w:right w:val="single" w:sz="4" w:space="0" w:color="E95485" w:themeColor="accent2"/>
          <w:insideH w:val="nil"/>
          <w:insideV w:val="nil"/>
          <w:tl2br w:val="nil"/>
          <w:tr2bl w:val="nil"/>
        </w:tcBorders>
        <w:shd w:val="clear" w:color="auto" w:fill="E95485" w:themeFill="accent2"/>
      </w:tcPr>
    </w:tblStylePr>
    <w:tblStylePr w:type="lastRow">
      <w:tblPr/>
      <w:tcPr>
        <w:tcBorders>
          <w:top w:val="single" w:sz="18"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l2br w:val="nil"/>
          <w:tr2bl w:val="nil"/>
        </w:tcBorders>
      </w:tcPr>
    </w:tblStylePr>
    <w:tblStylePr w:type="band1Horz">
      <w:tblPr/>
      <w:tcPr>
        <w:tcBorders>
          <w:top w:val="single" w:sz="4" w:space="0" w:color="E95485" w:themeColor="accent2"/>
          <w:left w:val="single" w:sz="4" w:space="0" w:color="E95485" w:themeColor="accent2"/>
          <w:bottom w:val="single" w:sz="4" w:space="0" w:color="E95485" w:themeColor="accent2"/>
          <w:right w:val="single" w:sz="4" w:space="0" w:color="E95485" w:themeColor="accent2"/>
          <w:insideH w:val="single" w:sz="4" w:space="0" w:color="E95485" w:themeColor="accent2"/>
          <w:insideV w:val="single" w:sz="4" w:space="0" w:color="E95485" w:themeColor="accent2"/>
          <w:tl2br w:val="nil"/>
          <w:tr2bl w:val="nil"/>
        </w:tcBorders>
        <w:shd w:val="clear" w:color="auto" w:fill="FADCE6" w:themeFill="accent2" w:themeFillTint="33"/>
      </w:tcPr>
    </w:tblStylePr>
  </w:style>
  <w:style w:type="paragraph" w:styleId="Liststycke">
    <w:name w:val="List Paragraph"/>
    <w:basedOn w:val="Normal"/>
    <w:uiPriority w:val="34"/>
    <w:semiHidden/>
    <w:qFormat/>
    <w:rsid w:val="006E60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mailto:yttranden@mtm.se" TargetMode="External"/><Relationship Id="rId2" Type="http://schemas.openxmlformats.org/officeDocument/2006/relationships/customXml" Target="../customXml/item2.xml"/><Relationship Id="rId16" Type="http://schemas.openxmlformats.org/officeDocument/2006/relationships/hyperlink" Target="mailto:belmina.koca@srf.n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rfriks.sharepoint.com/sites/SRF-dokument/Officemallar/Rikskansliet/Remissva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3638AE690B42F5B2E42D6BC0B33868"/>
        <w:category>
          <w:name w:val="Allmänt"/>
          <w:gallery w:val="placeholder"/>
        </w:category>
        <w:types>
          <w:type w:val="bbPlcHdr"/>
        </w:types>
        <w:behaviors>
          <w:behavior w:val="content"/>
        </w:behaviors>
        <w:guid w:val="{524A478F-A787-47B4-AA9A-E243D135D04D}"/>
      </w:docPartPr>
      <w:docPartBody>
        <w:p w:rsidR="009235A2" w:rsidRDefault="009235A2">
          <w:pPr>
            <w:pStyle w:val="143638AE690B42F5B2E42D6BC0B33868"/>
          </w:pPr>
          <w:r>
            <w:rPr>
              <w:rStyle w:val="Platshllartext"/>
            </w:rPr>
            <w:t>A</w:t>
          </w:r>
          <w:r w:rsidRPr="00A04684">
            <w:rPr>
              <w:rStyle w:val="Platshllartext"/>
            </w:rPr>
            <w:t>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5A2"/>
    <w:rsid w:val="00171E97"/>
    <w:rsid w:val="0019084D"/>
    <w:rsid w:val="00571F9E"/>
    <w:rsid w:val="009235A2"/>
    <w:rsid w:val="009F5235"/>
    <w:rsid w:val="00A3712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Pr>
      <w:color w:val="6E6E6E"/>
      <w:bdr w:val="none" w:sz="0" w:space="0" w:color="auto"/>
      <w:shd w:val="clear" w:color="auto" w:fill="F2F2F2"/>
    </w:rPr>
  </w:style>
  <w:style w:type="paragraph" w:customStyle="1" w:styleId="143638AE690B42F5B2E42D6BC0B33868">
    <w:name w:val="143638AE690B42F5B2E42D6BC0B338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SRF Färger 3">
      <a:dk1>
        <a:sysClr val="windowText" lastClr="000000"/>
      </a:dk1>
      <a:lt1>
        <a:sysClr val="window" lastClr="FFFFFF"/>
      </a:lt1>
      <a:dk2>
        <a:srgbClr val="000000"/>
      </a:dk2>
      <a:lt2>
        <a:srgbClr val="E7E6E6"/>
      </a:lt2>
      <a:accent1>
        <a:srgbClr val="3C4981"/>
      </a:accent1>
      <a:accent2>
        <a:srgbClr val="E95485"/>
      </a:accent2>
      <a:accent3>
        <a:srgbClr val="FAAF3F"/>
      </a:accent3>
      <a:accent4>
        <a:srgbClr val="787522"/>
      </a:accent4>
      <a:accent5>
        <a:srgbClr val="7780A7"/>
      </a:accent5>
      <a:accent6>
        <a:srgbClr val="A39B7E"/>
      </a:accent6>
      <a:hlink>
        <a:srgbClr val="3C4981"/>
      </a:hlink>
      <a:folHlink>
        <a:srgbClr val="3C4981"/>
      </a:folHlink>
    </a:clrScheme>
    <a:fontScheme name="SRF 2026">
      <a:majorFont>
        <a:latin typeface="Arial Narrow"/>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w="12700"/>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spPr>
      <a:bodyPr rot="0" spcFirstLastPara="0" vertOverflow="overflow" horzOverflow="overflow" vert="horz" wrap="square" lIns="126000" tIns="90000" rIns="126000" bIns="9000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099B733748F3349B537C0B4190CE25F" ma:contentTypeVersion="5" ma:contentTypeDescription="Skapa ett nytt dokument." ma:contentTypeScope="" ma:versionID="2962d39283b6f27e3df29651c0321eb0">
  <xsd:schema xmlns:xsd="http://www.w3.org/2001/XMLSchema" xmlns:xs="http://www.w3.org/2001/XMLSchema" xmlns:p="http://schemas.microsoft.com/office/2006/metadata/properties" xmlns:ns2="723f9c67-b07e-4d41-b2d1-72c5c6e6f7a7" xmlns:ns3="4b217c19-c3bf-4cf0-ac1f-f8b48b7fa21c" targetNamespace="http://schemas.microsoft.com/office/2006/metadata/properties" ma:root="true" ma:fieldsID="1fbae8bc0206b61f11265d0c9a03a7a8" ns2:_="" ns3:_="">
    <xsd:import namespace="723f9c67-b07e-4d41-b2d1-72c5c6e6f7a7"/>
    <xsd:import namespace="4b217c19-c3bf-4cf0-ac1f-f8b48b7fa21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f9c67-b07e-4d41-b2d1-72c5c6e6f7a7"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217c19-c3bf-4cf0-ac1f-f8b48b7fa21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8D78D0-6EA1-49F1-B16C-9B06DFC93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3f9c67-b07e-4d41-b2d1-72c5c6e6f7a7"/>
    <ds:schemaRef ds:uri="4b217c19-c3bf-4cf0-ac1f-f8b48b7fa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9EF0B7-E069-4EA9-84EB-2283053C4ACD}">
  <ds:schemaRefs>
    <ds:schemaRef ds:uri="http://schemas.openxmlformats.org/officeDocument/2006/bibliography"/>
  </ds:schemaRefs>
</ds:datastoreItem>
</file>

<file path=customXml/itemProps3.xml><?xml version="1.0" encoding="utf-8"?>
<ds:datastoreItem xmlns:ds="http://schemas.openxmlformats.org/officeDocument/2006/customXml" ds:itemID="{7DCE1F04-932E-4FB5-AE1B-8F976B8D60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937A8C-8756-4670-A220-B5D1AF872B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Remissvar</Template>
  <TotalTime>126</TotalTime>
  <Pages>9</Pages>
  <Words>2474</Words>
  <Characters>13118</Characters>
  <Application>Microsoft Office Word</Application>
  <DocSecurity>0</DocSecurity>
  <Lines>109</Lines>
  <Paragraphs>31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Belmina Koca</dc:creator>
  <cp:keywords/>
  <dc:description/>
  <cp:lastModifiedBy>Sofia Abrahamsson</cp:lastModifiedBy>
  <cp:revision>77</cp:revision>
  <dcterms:created xsi:type="dcterms:W3CDTF">2026-09-14T06:49:00Z</dcterms:created>
  <dcterms:modified xsi:type="dcterms:W3CDTF">2026-09-15T08:52:00Z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0x010100C099B733748F3349B537C0B4190CE25F</vt:lpwstr>
  </property>
  <property fmtid="{D5CDD505-2E9C-101B-9397-08002B2CF9AE}" pid="3" name="MediaServiceImageTags">
    <vt:lpwstr/>
  </property>
</Properties>
</file>